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EE6CE" w14:textId="77777777" w:rsidR="00996A32" w:rsidRDefault="0019500C">
      <w:pPr>
        <w:ind w:firstLineChars="0" w:firstLine="0"/>
      </w:pPr>
      <w:r>
        <w:rPr>
          <w:rFonts w:hint="eastAsia"/>
        </w:rPr>
        <w:t>附件</w:t>
      </w:r>
      <w:r>
        <w:rPr>
          <w:rFonts w:hint="eastAsia"/>
        </w:rPr>
        <w:t>1.</w:t>
      </w:r>
      <w:r>
        <w:rPr>
          <w:rFonts w:hint="eastAsia"/>
        </w:rPr>
        <w:t>资产出</w:t>
      </w:r>
      <w:r>
        <w:rPr>
          <w:rFonts w:hint="eastAsia"/>
        </w:rPr>
        <w:t>租竞价规则</w:t>
      </w:r>
      <w:bookmarkStart w:id="0" w:name="_GoBack"/>
      <w:bookmarkEnd w:id="0"/>
    </w:p>
    <w:p w14:paraId="36293332" w14:textId="77777777" w:rsidR="00996A32" w:rsidRDefault="0019500C">
      <w:pPr>
        <w:ind w:firstLineChars="0" w:firstLine="0"/>
        <w:jc w:val="center"/>
        <w:rPr>
          <w:b/>
          <w:bCs/>
        </w:rPr>
      </w:pPr>
      <w:r>
        <w:rPr>
          <w:rFonts w:hint="eastAsia"/>
        </w:rPr>
        <w:t>资产出租</w:t>
      </w:r>
      <w:r>
        <w:rPr>
          <w:rFonts w:hint="eastAsia"/>
        </w:rPr>
        <w:t>竞价规则</w:t>
      </w:r>
    </w:p>
    <w:p w14:paraId="659DCE24" w14:textId="77777777" w:rsidR="00996A32" w:rsidRDefault="0019500C">
      <w:pPr>
        <w:ind w:firstLine="480"/>
      </w:pPr>
      <w:r>
        <w:rPr>
          <w:rFonts w:hint="eastAsia"/>
        </w:rPr>
        <w:t>一、招租方式</w:t>
      </w:r>
    </w:p>
    <w:p w14:paraId="71FA3821" w14:textId="77777777" w:rsidR="00996A32" w:rsidRDefault="0019500C">
      <w:pPr>
        <w:ind w:firstLineChars="300" w:firstLine="720"/>
      </w:pPr>
      <w:r>
        <w:rPr>
          <w:rFonts w:hint="eastAsia"/>
        </w:rPr>
        <w:t>采用公开招租方式。</w:t>
      </w:r>
    </w:p>
    <w:p w14:paraId="27485043" w14:textId="77777777" w:rsidR="00996A32" w:rsidRDefault="0019500C">
      <w:pPr>
        <w:ind w:firstLine="480"/>
      </w:pPr>
      <w:r>
        <w:rPr>
          <w:rFonts w:hint="eastAsia"/>
        </w:rPr>
        <w:t>二、招租说明</w:t>
      </w:r>
    </w:p>
    <w:p w14:paraId="1C3BE100" w14:textId="77777777" w:rsidR="00996A32" w:rsidRDefault="0019500C">
      <w:pPr>
        <w:ind w:firstLine="480"/>
      </w:pPr>
      <w:r>
        <w:rPr>
          <w:rFonts w:hint="eastAsia"/>
        </w:rPr>
        <w:t>（一）均以标的物的现状招租。</w:t>
      </w:r>
    </w:p>
    <w:p w14:paraId="40337B7E" w14:textId="77777777" w:rsidR="00996A32" w:rsidRDefault="0019500C">
      <w:pPr>
        <w:ind w:firstLineChars="0" w:firstLine="0"/>
        <w:jc w:val="left"/>
      </w:pPr>
      <w:r>
        <w:rPr>
          <w:rFonts w:hint="eastAsia"/>
        </w:rPr>
        <w:t xml:space="preserve">    </w:t>
      </w:r>
      <w:r>
        <w:rPr>
          <w:rFonts w:hint="eastAsia"/>
        </w:rPr>
        <w:t>（二）竞标人可根据需要自行到现场进行踏勘，对招租标的物现状及其周围环境进行勘察，以获取有关签署合同所需了解的全部情况。竞标人一旦报名，即视为竞标人对招租标的</w:t>
      </w:r>
      <w:proofErr w:type="gramStart"/>
      <w:r>
        <w:rPr>
          <w:rFonts w:hint="eastAsia"/>
        </w:rPr>
        <w:t>物现场</w:t>
      </w:r>
      <w:proofErr w:type="gramEnd"/>
      <w:r>
        <w:rPr>
          <w:rFonts w:hint="eastAsia"/>
        </w:rPr>
        <w:t>已经进行踏勘、充分知悉招租标的物的实际情况。</w:t>
      </w:r>
    </w:p>
    <w:p w14:paraId="121556FC" w14:textId="77777777" w:rsidR="00996A32" w:rsidRDefault="0019500C">
      <w:pPr>
        <w:ind w:firstLine="480"/>
        <w:jc w:val="left"/>
      </w:pPr>
      <w:r>
        <w:rPr>
          <w:rFonts w:hint="eastAsia"/>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14:paraId="57B6BC97" w14:textId="77777777" w:rsidR="00996A32" w:rsidRDefault="0019500C">
      <w:pPr>
        <w:ind w:firstLine="480"/>
        <w:jc w:val="left"/>
      </w:pPr>
      <w:r>
        <w:rPr>
          <w:rFonts w:hint="eastAsia"/>
        </w:rPr>
        <w:t>三、报名确认</w:t>
      </w:r>
    </w:p>
    <w:p w14:paraId="186DCBCB" w14:textId="77777777" w:rsidR="00996A32" w:rsidRDefault="0019500C">
      <w:pPr>
        <w:ind w:firstLineChars="0" w:firstLine="0"/>
        <w:jc w:val="left"/>
      </w:pPr>
      <w:r>
        <w:rPr>
          <w:rFonts w:hint="eastAsia"/>
        </w:rPr>
        <w:t xml:space="preserve">    </w:t>
      </w:r>
      <w:r>
        <w:rPr>
          <w:rFonts w:hint="eastAsia"/>
        </w:rPr>
        <w:t>符合报名资格的投标人（含优先承租权人）</w:t>
      </w:r>
      <w:r>
        <w:rPr>
          <w:rFonts w:hint="eastAsia"/>
        </w:rPr>
        <w:t>，</w:t>
      </w:r>
      <w:proofErr w:type="gramStart"/>
      <w:r>
        <w:rPr>
          <w:rFonts w:hint="eastAsia"/>
        </w:rPr>
        <w:t>于缴交</w:t>
      </w:r>
      <w:proofErr w:type="gramEnd"/>
      <w:r>
        <w:rPr>
          <w:rFonts w:hint="eastAsia"/>
        </w:rPr>
        <w:t>竞标保证金截止时间前，持竞标保证金缴款单据原件及有效证件（企业法人及其他机构组织：应提交营业执照和机构组织登记证复印件（加盖公章）、法定代表人身份证复印件（加盖公章及法人签名）、授权书及被授权人身份证复印件（同时需提交身份证原件以供核对）；提交中国人民银行出具的企业法人的征信报告原件（信用报告出具日期在报名之日前</w:t>
      </w:r>
      <w:r>
        <w:rPr>
          <w:rFonts w:hint="eastAsia"/>
        </w:rPr>
        <w:t>90</w:t>
      </w:r>
      <w:r>
        <w:rPr>
          <w:rFonts w:hint="eastAsia"/>
        </w:rPr>
        <w:t>天内）。登记后招标人根据招租公告的报名资格条件对报名人进行审核，不合格者不能参加投标，招标人将通知报名人，并退回竞标保证金。审核合格的投标人需要签订投标承诺书，方可取得参加竞标资格。</w:t>
      </w:r>
    </w:p>
    <w:p w14:paraId="472FE38B" w14:textId="77777777" w:rsidR="00996A32" w:rsidRDefault="0019500C">
      <w:pPr>
        <w:ind w:firstLine="480"/>
        <w:jc w:val="left"/>
      </w:pPr>
      <w:r>
        <w:rPr>
          <w:rFonts w:hint="eastAsia"/>
        </w:rPr>
        <w:t>四</w:t>
      </w:r>
      <w:r>
        <w:rPr>
          <w:rFonts w:hint="eastAsia"/>
        </w:rPr>
        <w:t>、现场竞标的说明</w:t>
      </w:r>
    </w:p>
    <w:p w14:paraId="13391933" w14:textId="77777777" w:rsidR="00996A32" w:rsidRDefault="0019500C">
      <w:pPr>
        <w:ind w:firstLine="480"/>
        <w:jc w:val="left"/>
      </w:pPr>
      <w:r>
        <w:rPr>
          <w:rFonts w:hint="eastAsia"/>
        </w:rPr>
        <w:t>1.</w:t>
      </w:r>
      <w:r>
        <w:rPr>
          <w:rFonts w:hint="eastAsia"/>
        </w:rPr>
        <w:t>采取现场竞价的方式，竞价加价。</w:t>
      </w:r>
    </w:p>
    <w:p w14:paraId="10887ADE" w14:textId="77777777" w:rsidR="00996A32" w:rsidRDefault="0019500C">
      <w:pPr>
        <w:ind w:firstLine="480"/>
        <w:jc w:val="left"/>
      </w:pPr>
      <w:r>
        <w:rPr>
          <w:rFonts w:hint="eastAsia"/>
        </w:rPr>
        <w:lastRenderedPageBreak/>
        <w:t>2.</w:t>
      </w:r>
      <w:r>
        <w:rPr>
          <w:rFonts w:hint="eastAsia"/>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14:paraId="5EDE591C" w14:textId="77777777" w:rsidR="00996A32" w:rsidRDefault="0019500C">
      <w:pPr>
        <w:ind w:firstLine="480"/>
        <w:jc w:val="left"/>
      </w:pPr>
      <w:r>
        <w:rPr>
          <w:rFonts w:hint="eastAsia"/>
        </w:rPr>
        <w:t>3.</w:t>
      </w:r>
      <w:r>
        <w:rPr>
          <w:rFonts w:hint="eastAsia"/>
        </w:rPr>
        <w:t>确定中标人。限时报价期内，如在当前限时报价周期内未出现新的有效报价，本次报价活动自动结束，当前最高有效报价（中标价）的报价人成为最终中标人。无人出价该</w:t>
      </w:r>
      <w:proofErr w:type="gramStart"/>
      <w:r>
        <w:rPr>
          <w:rFonts w:hint="eastAsia"/>
        </w:rPr>
        <w:t>标的按流标</w:t>
      </w:r>
      <w:proofErr w:type="gramEnd"/>
      <w:r>
        <w:rPr>
          <w:rFonts w:hint="eastAsia"/>
        </w:rPr>
        <w:t>处理。</w:t>
      </w:r>
    </w:p>
    <w:p w14:paraId="130D656F" w14:textId="77777777" w:rsidR="00996A32" w:rsidRDefault="0019500C">
      <w:pPr>
        <w:ind w:firstLine="480"/>
        <w:jc w:val="left"/>
      </w:pPr>
      <w:r>
        <w:rPr>
          <w:rFonts w:hint="eastAsia"/>
        </w:rPr>
        <w:t>五、合同签订和竞标保证金退还</w:t>
      </w:r>
    </w:p>
    <w:p w14:paraId="03F91A23" w14:textId="77777777" w:rsidR="00996A32" w:rsidRDefault="0019500C">
      <w:pPr>
        <w:ind w:firstLine="480"/>
        <w:jc w:val="left"/>
      </w:pPr>
      <w:r>
        <w:rPr>
          <w:rFonts w:hint="eastAsia"/>
        </w:rPr>
        <w:t>竞标未中标人交付的竞标保证金，于竞标结束后次日起</w:t>
      </w:r>
      <w:r>
        <w:rPr>
          <w:rFonts w:hint="eastAsia"/>
        </w:rPr>
        <w:t>5</w:t>
      </w:r>
      <w:r>
        <w:rPr>
          <w:rFonts w:hint="eastAsia"/>
        </w:rPr>
        <w:t>个工作日内全额无息退还。中标人应于接到招标人通知后</w:t>
      </w:r>
      <w:r>
        <w:rPr>
          <w:rFonts w:hint="eastAsia"/>
        </w:rPr>
        <w:t>10</w:t>
      </w:r>
      <w:r>
        <w:rPr>
          <w:rFonts w:hint="eastAsia"/>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w:t>
      </w:r>
      <w:r>
        <w:rPr>
          <w:rFonts w:hint="eastAsia"/>
        </w:rPr>
        <w:t>5</w:t>
      </w:r>
      <w:r>
        <w:rPr>
          <w:rFonts w:hint="eastAsia"/>
        </w:rPr>
        <w:t>个工作日内办理退款手续。中标人逾期未签订租赁合同的，招标人不予退还竞标保证金，且有权取消中标人的中标资格，招标人有权</w:t>
      </w:r>
      <w:r>
        <w:rPr>
          <w:rFonts w:hint="eastAsia"/>
        </w:rPr>
        <w:t>重新招租。</w:t>
      </w:r>
    </w:p>
    <w:p w14:paraId="066C56C8" w14:textId="77777777" w:rsidR="00996A32" w:rsidRDefault="0019500C">
      <w:pPr>
        <w:ind w:firstLine="480"/>
        <w:jc w:val="left"/>
      </w:pPr>
      <w:r>
        <w:rPr>
          <w:rFonts w:hint="eastAsia"/>
        </w:rPr>
        <w:t>六、招标人有权取消中标人中标资格的情形</w:t>
      </w:r>
    </w:p>
    <w:p w14:paraId="0549F4A0" w14:textId="77777777" w:rsidR="00996A32" w:rsidRDefault="0019500C">
      <w:pPr>
        <w:ind w:firstLine="480"/>
        <w:jc w:val="left"/>
      </w:pPr>
      <w:r>
        <w:rPr>
          <w:rFonts w:hint="eastAsia"/>
        </w:rPr>
        <w:t>有下列情形之一的，招标人有权取消中标人的中标资格且</w:t>
      </w:r>
      <w:proofErr w:type="gramStart"/>
      <w:r>
        <w:rPr>
          <w:rFonts w:hint="eastAsia"/>
        </w:rPr>
        <w:t>不</w:t>
      </w:r>
      <w:proofErr w:type="gramEnd"/>
      <w:r>
        <w:rPr>
          <w:rFonts w:hint="eastAsia"/>
        </w:rPr>
        <w:t>视为招标人违约。</w:t>
      </w:r>
    </w:p>
    <w:p w14:paraId="013A59EC" w14:textId="77777777" w:rsidR="00996A32" w:rsidRDefault="0019500C">
      <w:pPr>
        <w:ind w:firstLine="480"/>
        <w:jc w:val="left"/>
      </w:pPr>
      <w:r>
        <w:rPr>
          <w:rFonts w:hint="eastAsia"/>
        </w:rPr>
        <w:t>1.</w:t>
      </w:r>
      <w:r>
        <w:rPr>
          <w:rFonts w:hint="eastAsia"/>
        </w:rPr>
        <w:t>政府相关部门以函件、信件等反映中标人租赁招租标的物后可能存在引发社会矛盾、影响社会和谐及违反社会治安综合治理相关规定行为的；</w:t>
      </w:r>
    </w:p>
    <w:p w14:paraId="36986443" w14:textId="77777777" w:rsidR="00996A32" w:rsidRDefault="0019500C">
      <w:pPr>
        <w:ind w:firstLine="480"/>
        <w:jc w:val="left"/>
      </w:pPr>
      <w:r>
        <w:rPr>
          <w:rFonts w:hint="eastAsia"/>
        </w:rPr>
        <w:t>2.</w:t>
      </w:r>
      <w:r>
        <w:rPr>
          <w:rFonts w:hint="eastAsia"/>
        </w:rPr>
        <w:t>中标人被政府、司法等有关部门、第三方信用机构列入失信名单等的；</w:t>
      </w:r>
    </w:p>
    <w:p w14:paraId="0F4B3AA8" w14:textId="77777777" w:rsidR="00996A32" w:rsidRDefault="0019500C">
      <w:pPr>
        <w:ind w:firstLine="480"/>
        <w:jc w:val="left"/>
      </w:pPr>
      <w:r>
        <w:rPr>
          <w:rFonts w:hint="eastAsia"/>
        </w:rPr>
        <w:t>3. </w:t>
      </w:r>
      <w:r>
        <w:rPr>
          <w:rFonts w:hint="eastAsia"/>
        </w:rPr>
        <w:t>中标人有拖欠国贸控股、</w:t>
      </w:r>
      <w:proofErr w:type="gramStart"/>
      <w:r>
        <w:rPr>
          <w:rFonts w:hint="eastAsia"/>
        </w:rPr>
        <w:t>海翼集团</w:t>
      </w:r>
      <w:proofErr w:type="gramEnd"/>
      <w:r>
        <w:rPr>
          <w:rFonts w:hint="eastAsia"/>
        </w:rPr>
        <w:t>及所属企业租金等违约行为，或存在违约诉讼情形等的；</w:t>
      </w:r>
    </w:p>
    <w:p w14:paraId="5415F594" w14:textId="77777777" w:rsidR="00996A32" w:rsidRDefault="0019500C">
      <w:pPr>
        <w:ind w:firstLine="480"/>
        <w:jc w:val="left"/>
      </w:pPr>
      <w:r>
        <w:rPr>
          <w:rFonts w:hint="eastAsia"/>
        </w:rPr>
        <w:t>4.</w:t>
      </w:r>
      <w:r>
        <w:rPr>
          <w:rFonts w:hint="eastAsia"/>
        </w:rPr>
        <w:t>中标人提供虚假报名材料等的。</w:t>
      </w:r>
    </w:p>
    <w:p w14:paraId="697B1198" w14:textId="77777777" w:rsidR="00996A32" w:rsidRDefault="0019500C">
      <w:pPr>
        <w:ind w:firstLine="480"/>
        <w:jc w:val="left"/>
      </w:pPr>
      <w:r>
        <w:rPr>
          <w:rFonts w:hint="eastAsia"/>
        </w:rPr>
        <w:t>七、名词解释</w:t>
      </w:r>
    </w:p>
    <w:p w14:paraId="315EE476" w14:textId="77777777" w:rsidR="00996A32" w:rsidRDefault="0019500C">
      <w:pPr>
        <w:ind w:firstLine="480"/>
        <w:jc w:val="left"/>
        <w:rPr>
          <w:color w:val="000000" w:themeColor="text1"/>
        </w:rPr>
      </w:pPr>
      <w:r>
        <w:rPr>
          <w:rFonts w:hint="eastAsia"/>
        </w:rPr>
        <w:lastRenderedPageBreak/>
        <w:t>1.</w:t>
      </w:r>
      <w:r>
        <w:rPr>
          <w:rFonts w:hint="eastAsia"/>
        </w:rPr>
        <w:t>招标人：指对拟招租标的物提出招租、组织招租的法人单位</w:t>
      </w:r>
      <w:r>
        <w:rPr>
          <w:rFonts w:hint="eastAsia"/>
        </w:rPr>
        <w:t>或者其他组织，本规则中的</w:t>
      </w:r>
      <w:r>
        <w:rPr>
          <w:rFonts w:hint="eastAsia"/>
          <w:color w:val="000000" w:themeColor="text1"/>
        </w:rPr>
        <w:t>招标人为四川长江液压件有限责任公司。</w:t>
      </w:r>
    </w:p>
    <w:p w14:paraId="206F6074" w14:textId="77777777" w:rsidR="00996A32" w:rsidRDefault="0019500C">
      <w:pPr>
        <w:ind w:firstLine="480"/>
        <w:jc w:val="left"/>
      </w:pPr>
      <w:r>
        <w:rPr>
          <w:rFonts w:hint="eastAsia"/>
        </w:rPr>
        <w:t>2.</w:t>
      </w:r>
      <w:r>
        <w:rPr>
          <w:rFonts w:hint="eastAsia"/>
        </w:rPr>
        <w:t>优先承租权人：指招租标的物在本次招租前的上一期承租人。</w:t>
      </w:r>
    </w:p>
    <w:p w14:paraId="6BD416F5" w14:textId="77777777" w:rsidR="00996A32" w:rsidRDefault="0019500C">
      <w:pPr>
        <w:ind w:firstLine="480"/>
        <w:jc w:val="left"/>
      </w:pPr>
      <w:r>
        <w:rPr>
          <w:rFonts w:hint="eastAsia"/>
        </w:rPr>
        <w:t>3.</w:t>
      </w:r>
      <w:r>
        <w:rPr>
          <w:rFonts w:hint="eastAsia"/>
        </w:rPr>
        <w:t>投标人：指响应招租、参加竞标报价的自然人、法人或者其他组织。</w:t>
      </w:r>
    </w:p>
    <w:p w14:paraId="4281A685" w14:textId="77777777" w:rsidR="00996A32" w:rsidRDefault="0019500C">
      <w:pPr>
        <w:ind w:firstLine="480"/>
        <w:jc w:val="left"/>
      </w:pPr>
      <w:r>
        <w:rPr>
          <w:rFonts w:hint="eastAsia"/>
        </w:rPr>
        <w:t>4.</w:t>
      </w:r>
      <w:r>
        <w:rPr>
          <w:rFonts w:hint="eastAsia"/>
        </w:rPr>
        <w:t>中标人：指响应招租、参加竞标报价，并最终中标的自然人、法人或者其他组织。</w:t>
      </w:r>
    </w:p>
    <w:p w14:paraId="02DE1D5A" w14:textId="77777777" w:rsidR="00996A32" w:rsidRDefault="0019500C">
      <w:pPr>
        <w:ind w:firstLine="480"/>
        <w:jc w:val="left"/>
      </w:pPr>
      <w:r>
        <w:rPr>
          <w:rFonts w:hint="eastAsia"/>
        </w:rPr>
        <w:t>八、本细则的最终解释权归招标人。</w:t>
      </w:r>
    </w:p>
    <w:p w14:paraId="1E18C1CA" w14:textId="77777777" w:rsidR="00996A32" w:rsidRDefault="00996A32">
      <w:pPr>
        <w:spacing w:before="0" w:after="0" w:line="240" w:lineRule="auto"/>
        <w:ind w:firstLineChars="0" w:firstLine="0"/>
      </w:pPr>
    </w:p>
    <w:p w14:paraId="36CF2FC9" w14:textId="77777777" w:rsidR="00996A32" w:rsidRDefault="0019500C">
      <w:pPr>
        <w:spacing w:before="0" w:after="0" w:line="240" w:lineRule="auto"/>
        <w:ind w:firstLineChars="0" w:firstLine="0"/>
        <w:rPr>
          <w:rFonts w:hint="eastAsia"/>
        </w:rPr>
      </w:pPr>
      <w:r>
        <w:rPr>
          <w:rFonts w:hint="eastAsia"/>
        </w:rPr>
        <w:t>附件</w:t>
      </w:r>
      <w:r>
        <w:rPr>
          <w:rFonts w:hint="eastAsia"/>
        </w:rPr>
        <w:t>2.</w:t>
      </w:r>
      <w:r>
        <w:rPr>
          <w:rFonts w:hint="eastAsia"/>
        </w:rPr>
        <w:t>竞标出租资产明细</w:t>
      </w:r>
    </w:p>
    <w:p w14:paraId="1825BD7D" w14:textId="77777777" w:rsidR="008D243F" w:rsidRDefault="008D243F">
      <w:pPr>
        <w:spacing w:before="0" w:after="0" w:line="240" w:lineRule="auto"/>
        <w:ind w:firstLineChars="0" w:firstLine="0"/>
      </w:pPr>
    </w:p>
    <w:tbl>
      <w:tblPr>
        <w:tblW w:w="8880" w:type="dxa"/>
        <w:tblInd w:w="93" w:type="dxa"/>
        <w:tblLook w:val="04A0" w:firstRow="1" w:lastRow="0" w:firstColumn="1" w:lastColumn="0" w:noHBand="0" w:noVBand="1"/>
      </w:tblPr>
      <w:tblGrid>
        <w:gridCol w:w="960"/>
        <w:gridCol w:w="960"/>
        <w:gridCol w:w="740"/>
        <w:gridCol w:w="960"/>
        <w:gridCol w:w="2380"/>
        <w:gridCol w:w="960"/>
        <w:gridCol w:w="960"/>
        <w:gridCol w:w="960"/>
      </w:tblGrid>
      <w:tr w:rsidR="00996A32" w14:paraId="2E8AD482" w14:textId="77777777">
        <w:trPr>
          <w:trHeight w:val="53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14:paraId="456914DA" w14:textId="77777777" w:rsidR="00996A32" w:rsidRDefault="0019500C">
            <w:pPr>
              <w:widowControl/>
              <w:snapToGrid/>
              <w:spacing w:before="0" w:after="0" w:line="240" w:lineRule="auto"/>
              <w:ind w:firstLineChars="0" w:firstLine="402"/>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设备名称</w:t>
            </w:r>
          </w:p>
        </w:tc>
        <w:tc>
          <w:tcPr>
            <w:tcW w:w="960" w:type="dxa"/>
            <w:tcBorders>
              <w:top w:val="single" w:sz="8" w:space="0" w:color="auto"/>
              <w:left w:val="nil"/>
              <w:bottom w:val="single" w:sz="8" w:space="0" w:color="auto"/>
              <w:right w:val="single" w:sz="8" w:space="0" w:color="auto"/>
            </w:tcBorders>
            <w:shd w:val="clear" w:color="auto" w:fill="auto"/>
            <w:vAlign w:val="center"/>
          </w:tcPr>
          <w:p w14:paraId="6B51B913"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设备型号</w:t>
            </w:r>
          </w:p>
        </w:tc>
        <w:tc>
          <w:tcPr>
            <w:tcW w:w="740" w:type="dxa"/>
            <w:tcBorders>
              <w:top w:val="single" w:sz="8" w:space="0" w:color="auto"/>
              <w:left w:val="nil"/>
              <w:bottom w:val="single" w:sz="8" w:space="0" w:color="auto"/>
              <w:right w:val="single" w:sz="8" w:space="0" w:color="auto"/>
            </w:tcBorders>
            <w:shd w:val="clear" w:color="auto" w:fill="auto"/>
            <w:vAlign w:val="center"/>
          </w:tcPr>
          <w:p w14:paraId="3935EB7D"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数量</w:t>
            </w:r>
          </w:p>
        </w:tc>
        <w:tc>
          <w:tcPr>
            <w:tcW w:w="960" w:type="dxa"/>
            <w:tcBorders>
              <w:top w:val="single" w:sz="8" w:space="0" w:color="auto"/>
              <w:left w:val="nil"/>
              <w:bottom w:val="single" w:sz="8" w:space="0" w:color="auto"/>
              <w:right w:val="single" w:sz="8" w:space="0" w:color="auto"/>
            </w:tcBorders>
            <w:shd w:val="clear" w:color="auto" w:fill="auto"/>
            <w:vAlign w:val="center"/>
          </w:tcPr>
          <w:p w14:paraId="6497EF4D"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设备编号</w:t>
            </w:r>
          </w:p>
        </w:tc>
        <w:tc>
          <w:tcPr>
            <w:tcW w:w="2380" w:type="dxa"/>
            <w:tcBorders>
              <w:top w:val="single" w:sz="8" w:space="0" w:color="auto"/>
              <w:left w:val="nil"/>
              <w:bottom w:val="single" w:sz="8" w:space="0" w:color="auto"/>
              <w:right w:val="single" w:sz="8" w:space="0" w:color="auto"/>
            </w:tcBorders>
            <w:shd w:val="clear" w:color="auto" w:fill="auto"/>
            <w:vAlign w:val="center"/>
          </w:tcPr>
          <w:p w14:paraId="33C45575"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制造单位</w:t>
            </w:r>
          </w:p>
        </w:tc>
        <w:tc>
          <w:tcPr>
            <w:tcW w:w="960" w:type="dxa"/>
            <w:tcBorders>
              <w:top w:val="single" w:sz="8" w:space="0" w:color="auto"/>
              <w:left w:val="nil"/>
              <w:bottom w:val="single" w:sz="8" w:space="0" w:color="auto"/>
              <w:right w:val="single" w:sz="8" w:space="0" w:color="auto"/>
            </w:tcBorders>
            <w:shd w:val="clear" w:color="auto" w:fill="auto"/>
            <w:vAlign w:val="center"/>
          </w:tcPr>
          <w:p w14:paraId="0E0F4658"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使用日期</w:t>
            </w:r>
          </w:p>
        </w:tc>
        <w:tc>
          <w:tcPr>
            <w:tcW w:w="960" w:type="dxa"/>
            <w:tcBorders>
              <w:top w:val="single" w:sz="8" w:space="0" w:color="auto"/>
              <w:left w:val="nil"/>
              <w:bottom w:val="single" w:sz="8" w:space="0" w:color="auto"/>
              <w:right w:val="single" w:sz="8" w:space="0" w:color="auto"/>
            </w:tcBorders>
            <w:shd w:val="clear" w:color="auto" w:fill="auto"/>
            <w:vAlign w:val="center"/>
          </w:tcPr>
          <w:p w14:paraId="7B0A5377"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设备原值（元）</w:t>
            </w:r>
          </w:p>
        </w:tc>
        <w:tc>
          <w:tcPr>
            <w:tcW w:w="960" w:type="dxa"/>
            <w:tcBorders>
              <w:top w:val="single" w:sz="8" w:space="0" w:color="auto"/>
              <w:left w:val="nil"/>
              <w:bottom w:val="single" w:sz="8" w:space="0" w:color="auto"/>
              <w:right w:val="single" w:sz="8" w:space="0" w:color="auto"/>
            </w:tcBorders>
            <w:shd w:val="clear" w:color="auto" w:fill="auto"/>
            <w:vAlign w:val="center"/>
          </w:tcPr>
          <w:p w14:paraId="5630F098" w14:textId="77777777" w:rsidR="00996A32" w:rsidRDefault="0019500C">
            <w:pPr>
              <w:widowControl/>
              <w:snapToGrid/>
              <w:spacing w:before="0" w:after="0"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备注</w:t>
            </w:r>
          </w:p>
        </w:tc>
      </w:tr>
      <w:tr w:rsidR="00996A32" w14:paraId="743794C1"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1F07382D"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7302CB9E"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X3635-1</w:t>
            </w:r>
          </w:p>
        </w:tc>
        <w:tc>
          <w:tcPr>
            <w:tcW w:w="740" w:type="dxa"/>
            <w:tcBorders>
              <w:top w:val="nil"/>
              <w:left w:val="nil"/>
              <w:bottom w:val="single" w:sz="8" w:space="0" w:color="auto"/>
              <w:right w:val="single" w:sz="8" w:space="0" w:color="auto"/>
            </w:tcBorders>
            <w:shd w:val="clear" w:color="auto" w:fill="auto"/>
            <w:noWrap/>
            <w:vAlign w:val="center"/>
          </w:tcPr>
          <w:p w14:paraId="4D4A7238"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noWrap/>
            <w:vAlign w:val="center"/>
          </w:tcPr>
          <w:p w14:paraId="3C0CB811"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069-2</w:t>
            </w:r>
          </w:p>
        </w:tc>
        <w:tc>
          <w:tcPr>
            <w:tcW w:w="2380" w:type="dxa"/>
            <w:tcBorders>
              <w:top w:val="nil"/>
              <w:left w:val="nil"/>
              <w:bottom w:val="single" w:sz="8" w:space="0" w:color="auto"/>
              <w:right w:val="single" w:sz="8" w:space="0" w:color="auto"/>
            </w:tcBorders>
            <w:shd w:val="clear" w:color="auto" w:fill="auto"/>
            <w:noWrap/>
            <w:vAlign w:val="center"/>
          </w:tcPr>
          <w:p w14:paraId="4EFE4954"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noWrap/>
            <w:vAlign w:val="center"/>
          </w:tcPr>
          <w:p w14:paraId="0C4FFD9A"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1980.12</w:t>
            </w:r>
          </w:p>
        </w:tc>
        <w:tc>
          <w:tcPr>
            <w:tcW w:w="960" w:type="dxa"/>
            <w:tcBorders>
              <w:top w:val="nil"/>
              <w:left w:val="nil"/>
              <w:bottom w:val="single" w:sz="8" w:space="0" w:color="auto"/>
              <w:right w:val="single" w:sz="8" w:space="0" w:color="auto"/>
            </w:tcBorders>
            <w:shd w:val="clear" w:color="auto" w:fill="auto"/>
            <w:vAlign w:val="center"/>
          </w:tcPr>
          <w:p w14:paraId="73C0A780"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25324</w:t>
            </w:r>
          </w:p>
        </w:tc>
        <w:tc>
          <w:tcPr>
            <w:tcW w:w="960" w:type="dxa"/>
            <w:tcBorders>
              <w:top w:val="nil"/>
              <w:left w:val="nil"/>
              <w:bottom w:val="single" w:sz="8" w:space="0" w:color="auto"/>
              <w:right w:val="single" w:sz="8" w:space="0" w:color="auto"/>
            </w:tcBorders>
            <w:shd w:val="clear" w:color="auto" w:fill="auto"/>
            <w:vAlign w:val="center"/>
          </w:tcPr>
          <w:p w14:paraId="40E6E04C" w14:textId="77777777" w:rsidR="00996A32" w:rsidRDefault="0019500C">
            <w:pPr>
              <w:widowControl/>
              <w:snapToGrid/>
              <w:spacing w:before="0" w:after="0" w:line="240" w:lineRule="auto"/>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自制</w:t>
            </w:r>
          </w:p>
        </w:tc>
      </w:tr>
      <w:tr w:rsidR="00996A32" w14:paraId="3E7FF045"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1352A574"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64A217FF"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X3635-1</w:t>
            </w:r>
          </w:p>
        </w:tc>
        <w:tc>
          <w:tcPr>
            <w:tcW w:w="740" w:type="dxa"/>
            <w:tcBorders>
              <w:top w:val="nil"/>
              <w:left w:val="nil"/>
              <w:bottom w:val="single" w:sz="8" w:space="0" w:color="auto"/>
              <w:right w:val="single" w:sz="8" w:space="0" w:color="auto"/>
            </w:tcBorders>
            <w:shd w:val="clear" w:color="auto" w:fill="auto"/>
            <w:vAlign w:val="center"/>
          </w:tcPr>
          <w:p w14:paraId="397F8F11"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6DA05B8F"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066-2</w:t>
            </w:r>
          </w:p>
        </w:tc>
        <w:tc>
          <w:tcPr>
            <w:tcW w:w="2380" w:type="dxa"/>
            <w:tcBorders>
              <w:top w:val="nil"/>
              <w:left w:val="nil"/>
              <w:bottom w:val="single" w:sz="8" w:space="0" w:color="auto"/>
              <w:right w:val="single" w:sz="8" w:space="0" w:color="auto"/>
            </w:tcBorders>
            <w:shd w:val="clear" w:color="auto" w:fill="auto"/>
            <w:vAlign w:val="center"/>
          </w:tcPr>
          <w:p w14:paraId="3BE57BBA"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6DC8754B"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1977.11</w:t>
            </w:r>
          </w:p>
        </w:tc>
        <w:tc>
          <w:tcPr>
            <w:tcW w:w="960" w:type="dxa"/>
            <w:tcBorders>
              <w:top w:val="nil"/>
              <w:left w:val="nil"/>
              <w:bottom w:val="single" w:sz="8" w:space="0" w:color="auto"/>
              <w:right w:val="single" w:sz="8" w:space="0" w:color="auto"/>
            </w:tcBorders>
            <w:shd w:val="clear" w:color="auto" w:fill="auto"/>
            <w:vAlign w:val="center"/>
          </w:tcPr>
          <w:p w14:paraId="3E48BF93"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59293</w:t>
            </w:r>
          </w:p>
        </w:tc>
        <w:tc>
          <w:tcPr>
            <w:tcW w:w="960" w:type="dxa"/>
            <w:tcBorders>
              <w:top w:val="nil"/>
              <w:left w:val="nil"/>
              <w:bottom w:val="single" w:sz="8" w:space="0" w:color="auto"/>
              <w:right w:val="single" w:sz="8" w:space="0" w:color="auto"/>
            </w:tcBorders>
            <w:shd w:val="clear" w:color="auto" w:fill="auto"/>
            <w:vAlign w:val="center"/>
          </w:tcPr>
          <w:p w14:paraId="07EA31AA" w14:textId="77777777" w:rsidR="00996A32" w:rsidRDefault="0019500C">
            <w:pPr>
              <w:widowControl/>
              <w:snapToGrid/>
              <w:spacing w:before="0" w:after="0" w:line="240" w:lineRule="auto"/>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自制</w:t>
            </w:r>
          </w:p>
        </w:tc>
      </w:tr>
      <w:tr w:rsidR="00996A32" w14:paraId="1FF82BA7"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4D3152AB"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783D4E86"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X3635-1</w:t>
            </w:r>
          </w:p>
        </w:tc>
        <w:tc>
          <w:tcPr>
            <w:tcW w:w="740" w:type="dxa"/>
            <w:tcBorders>
              <w:top w:val="nil"/>
              <w:left w:val="nil"/>
              <w:bottom w:val="single" w:sz="8" w:space="0" w:color="auto"/>
              <w:right w:val="single" w:sz="8" w:space="0" w:color="auto"/>
            </w:tcBorders>
            <w:shd w:val="clear" w:color="auto" w:fill="auto"/>
            <w:vAlign w:val="center"/>
          </w:tcPr>
          <w:p w14:paraId="62FA53CD"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386DD9AE"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066-3</w:t>
            </w:r>
          </w:p>
        </w:tc>
        <w:tc>
          <w:tcPr>
            <w:tcW w:w="2380" w:type="dxa"/>
            <w:tcBorders>
              <w:top w:val="nil"/>
              <w:left w:val="nil"/>
              <w:bottom w:val="single" w:sz="8" w:space="0" w:color="auto"/>
              <w:right w:val="single" w:sz="8" w:space="0" w:color="auto"/>
            </w:tcBorders>
            <w:shd w:val="clear" w:color="auto" w:fill="auto"/>
            <w:vAlign w:val="center"/>
          </w:tcPr>
          <w:p w14:paraId="6944CBDD"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0F4DCD75"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1978.5</w:t>
            </w:r>
          </w:p>
        </w:tc>
        <w:tc>
          <w:tcPr>
            <w:tcW w:w="960" w:type="dxa"/>
            <w:tcBorders>
              <w:top w:val="nil"/>
              <w:left w:val="nil"/>
              <w:bottom w:val="single" w:sz="8" w:space="0" w:color="auto"/>
              <w:right w:val="single" w:sz="8" w:space="0" w:color="auto"/>
            </w:tcBorders>
            <w:shd w:val="clear" w:color="auto" w:fill="auto"/>
            <w:vAlign w:val="center"/>
          </w:tcPr>
          <w:p w14:paraId="36CFB1C2"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32560</w:t>
            </w:r>
          </w:p>
        </w:tc>
        <w:tc>
          <w:tcPr>
            <w:tcW w:w="960" w:type="dxa"/>
            <w:tcBorders>
              <w:top w:val="nil"/>
              <w:left w:val="nil"/>
              <w:bottom w:val="single" w:sz="8" w:space="0" w:color="auto"/>
              <w:right w:val="single" w:sz="8" w:space="0" w:color="auto"/>
            </w:tcBorders>
            <w:shd w:val="clear" w:color="auto" w:fill="auto"/>
            <w:vAlign w:val="center"/>
          </w:tcPr>
          <w:p w14:paraId="58E3386A" w14:textId="77777777" w:rsidR="00996A32" w:rsidRDefault="0019500C">
            <w:pPr>
              <w:widowControl/>
              <w:snapToGrid/>
              <w:spacing w:before="0" w:after="0" w:line="240" w:lineRule="auto"/>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自制</w:t>
            </w:r>
          </w:p>
        </w:tc>
      </w:tr>
      <w:tr w:rsidR="00996A32" w14:paraId="6253C6E4"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0EAF63C9"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7993DFBF"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HXT-1</w:t>
            </w:r>
          </w:p>
        </w:tc>
        <w:tc>
          <w:tcPr>
            <w:tcW w:w="740" w:type="dxa"/>
            <w:tcBorders>
              <w:top w:val="nil"/>
              <w:left w:val="nil"/>
              <w:bottom w:val="single" w:sz="8" w:space="0" w:color="auto"/>
              <w:right w:val="single" w:sz="8" w:space="0" w:color="auto"/>
            </w:tcBorders>
            <w:shd w:val="clear" w:color="auto" w:fill="auto"/>
            <w:vAlign w:val="center"/>
          </w:tcPr>
          <w:p w14:paraId="38FB9866"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27125E31"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066-1</w:t>
            </w:r>
          </w:p>
        </w:tc>
        <w:tc>
          <w:tcPr>
            <w:tcW w:w="2380" w:type="dxa"/>
            <w:tcBorders>
              <w:top w:val="nil"/>
              <w:left w:val="nil"/>
              <w:bottom w:val="single" w:sz="8" w:space="0" w:color="auto"/>
              <w:right w:val="single" w:sz="8" w:space="0" w:color="auto"/>
            </w:tcBorders>
            <w:shd w:val="clear" w:color="auto" w:fill="auto"/>
            <w:vAlign w:val="center"/>
          </w:tcPr>
          <w:p w14:paraId="06B44F2D"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4E4E2EDD"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1975.12</w:t>
            </w:r>
          </w:p>
        </w:tc>
        <w:tc>
          <w:tcPr>
            <w:tcW w:w="960" w:type="dxa"/>
            <w:tcBorders>
              <w:top w:val="nil"/>
              <w:left w:val="nil"/>
              <w:bottom w:val="single" w:sz="8" w:space="0" w:color="auto"/>
              <w:right w:val="single" w:sz="8" w:space="0" w:color="auto"/>
            </w:tcBorders>
            <w:shd w:val="clear" w:color="auto" w:fill="auto"/>
            <w:vAlign w:val="center"/>
          </w:tcPr>
          <w:p w14:paraId="2868B2FF"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35680</w:t>
            </w:r>
          </w:p>
        </w:tc>
        <w:tc>
          <w:tcPr>
            <w:tcW w:w="960" w:type="dxa"/>
            <w:tcBorders>
              <w:top w:val="nil"/>
              <w:left w:val="nil"/>
              <w:bottom w:val="single" w:sz="8" w:space="0" w:color="auto"/>
              <w:right w:val="single" w:sz="8" w:space="0" w:color="auto"/>
            </w:tcBorders>
            <w:shd w:val="clear" w:color="auto" w:fill="auto"/>
            <w:vAlign w:val="center"/>
          </w:tcPr>
          <w:p w14:paraId="53A7AAE4" w14:textId="77777777" w:rsidR="00996A32" w:rsidRDefault="0019500C">
            <w:pPr>
              <w:widowControl/>
              <w:snapToGrid/>
              <w:spacing w:before="0" w:after="0" w:line="240" w:lineRule="auto"/>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自制</w:t>
            </w:r>
          </w:p>
        </w:tc>
      </w:tr>
      <w:tr w:rsidR="00996A32" w14:paraId="6BAC71D8"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4301FF68"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3EB005CF"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XT50-1</w:t>
            </w:r>
          </w:p>
        </w:tc>
        <w:tc>
          <w:tcPr>
            <w:tcW w:w="740" w:type="dxa"/>
            <w:tcBorders>
              <w:top w:val="nil"/>
              <w:left w:val="nil"/>
              <w:bottom w:val="single" w:sz="8" w:space="0" w:color="auto"/>
              <w:right w:val="single" w:sz="8" w:space="0" w:color="auto"/>
            </w:tcBorders>
            <w:shd w:val="clear" w:color="auto" w:fill="auto"/>
            <w:vAlign w:val="center"/>
          </w:tcPr>
          <w:p w14:paraId="01DBA58D"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626AD369"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067-11</w:t>
            </w:r>
          </w:p>
        </w:tc>
        <w:tc>
          <w:tcPr>
            <w:tcW w:w="2380" w:type="dxa"/>
            <w:tcBorders>
              <w:top w:val="nil"/>
              <w:left w:val="nil"/>
              <w:bottom w:val="single" w:sz="8" w:space="0" w:color="auto"/>
              <w:right w:val="single" w:sz="8" w:space="0" w:color="auto"/>
            </w:tcBorders>
            <w:shd w:val="clear" w:color="auto" w:fill="auto"/>
            <w:vAlign w:val="center"/>
          </w:tcPr>
          <w:p w14:paraId="373D3E09"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4381B669"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2004.4</w:t>
            </w:r>
          </w:p>
        </w:tc>
        <w:tc>
          <w:tcPr>
            <w:tcW w:w="960" w:type="dxa"/>
            <w:tcBorders>
              <w:top w:val="nil"/>
              <w:left w:val="nil"/>
              <w:bottom w:val="single" w:sz="8" w:space="0" w:color="auto"/>
              <w:right w:val="single" w:sz="8" w:space="0" w:color="auto"/>
            </w:tcBorders>
            <w:shd w:val="clear" w:color="auto" w:fill="auto"/>
            <w:vAlign w:val="center"/>
          </w:tcPr>
          <w:p w14:paraId="623FBD7F"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38660</w:t>
            </w:r>
          </w:p>
        </w:tc>
        <w:tc>
          <w:tcPr>
            <w:tcW w:w="960" w:type="dxa"/>
            <w:tcBorders>
              <w:top w:val="nil"/>
              <w:left w:val="nil"/>
              <w:bottom w:val="single" w:sz="8" w:space="0" w:color="auto"/>
              <w:right w:val="single" w:sz="8" w:space="0" w:color="auto"/>
            </w:tcBorders>
            <w:shd w:val="clear" w:color="auto" w:fill="auto"/>
            <w:vAlign w:val="center"/>
          </w:tcPr>
          <w:p w14:paraId="4255ABCB" w14:textId="77777777" w:rsidR="00996A32" w:rsidRDefault="0019500C">
            <w:pPr>
              <w:widowControl/>
              <w:snapToGrid/>
              <w:spacing w:before="0" w:after="0" w:line="240" w:lineRule="auto"/>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自制</w:t>
            </w:r>
          </w:p>
        </w:tc>
      </w:tr>
      <w:tr w:rsidR="00996A32" w14:paraId="5BFE8EFD" w14:textId="77777777">
        <w:trPr>
          <w:trHeight w:val="470"/>
        </w:trPr>
        <w:tc>
          <w:tcPr>
            <w:tcW w:w="960" w:type="dxa"/>
            <w:tcBorders>
              <w:top w:val="nil"/>
              <w:left w:val="single" w:sz="8" w:space="0" w:color="auto"/>
              <w:bottom w:val="single" w:sz="8" w:space="0" w:color="auto"/>
              <w:right w:val="single" w:sz="8" w:space="0" w:color="auto"/>
            </w:tcBorders>
            <w:shd w:val="clear" w:color="auto" w:fill="auto"/>
            <w:vAlign w:val="center"/>
          </w:tcPr>
          <w:p w14:paraId="51986946"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热芯盒</w:t>
            </w:r>
            <w:proofErr w:type="gramStart"/>
            <w:r>
              <w:rPr>
                <w:rFonts w:ascii="等线" w:eastAsia="等线" w:hAnsi="等线" w:cs="宋体" w:hint="eastAsia"/>
                <w:color w:val="000000"/>
                <w:kern w:val="0"/>
                <w:sz w:val="18"/>
                <w:szCs w:val="18"/>
              </w:rPr>
              <w:t>射芯机</w:t>
            </w:r>
            <w:proofErr w:type="gramEnd"/>
          </w:p>
        </w:tc>
        <w:tc>
          <w:tcPr>
            <w:tcW w:w="960" w:type="dxa"/>
            <w:tcBorders>
              <w:top w:val="nil"/>
              <w:left w:val="nil"/>
              <w:bottom w:val="single" w:sz="8" w:space="0" w:color="auto"/>
              <w:right w:val="single" w:sz="8" w:space="0" w:color="auto"/>
            </w:tcBorders>
            <w:shd w:val="clear" w:color="auto" w:fill="auto"/>
            <w:noWrap/>
            <w:vAlign w:val="center"/>
          </w:tcPr>
          <w:p w14:paraId="5F0B7B5E"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Z9405</w:t>
            </w:r>
          </w:p>
        </w:tc>
        <w:tc>
          <w:tcPr>
            <w:tcW w:w="740" w:type="dxa"/>
            <w:tcBorders>
              <w:top w:val="nil"/>
              <w:left w:val="nil"/>
              <w:bottom w:val="single" w:sz="8" w:space="0" w:color="auto"/>
              <w:right w:val="single" w:sz="8" w:space="0" w:color="auto"/>
            </w:tcBorders>
            <w:shd w:val="clear" w:color="auto" w:fill="auto"/>
            <w:noWrap/>
            <w:vAlign w:val="center"/>
          </w:tcPr>
          <w:p w14:paraId="5688B64A"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w:t>
            </w:r>
          </w:p>
        </w:tc>
        <w:tc>
          <w:tcPr>
            <w:tcW w:w="960" w:type="dxa"/>
            <w:tcBorders>
              <w:top w:val="nil"/>
              <w:left w:val="nil"/>
              <w:bottom w:val="single" w:sz="8" w:space="0" w:color="auto"/>
              <w:right w:val="single" w:sz="8" w:space="0" w:color="auto"/>
            </w:tcBorders>
            <w:shd w:val="clear" w:color="auto" w:fill="auto"/>
            <w:noWrap/>
            <w:vAlign w:val="center"/>
          </w:tcPr>
          <w:p w14:paraId="55C6195C" w14:textId="77777777" w:rsidR="00996A32" w:rsidRDefault="0019500C">
            <w:pPr>
              <w:widowControl/>
              <w:snapToGrid/>
              <w:spacing w:before="0" w:after="0" w:line="240" w:lineRule="auto"/>
              <w:ind w:firstLineChars="0" w:firstLine="0"/>
              <w:jc w:val="center"/>
              <w:rPr>
                <w:rFonts w:eastAsia="宋体"/>
                <w:color w:val="000000"/>
                <w:kern w:val="0"/>
                <w:sz w:val="18"/>
                <w:szCs w:val="18"/>
              </w:rPr>
            </w:pPr>
            <w:bookmarkStart w:id="1" w:name="RANGE!E8"/>
            <w:r>
              <w:rPr>
                <w:rFonts w:eastAsia="宋体"/>
                <w:color w:val="000000"/>
                <w:kern w:val="0"/>
                <w:sz w:val="18"/>
                <w:szCs w:val="18"/>
              </w:rPr>
              <w:t>321-47</w:t>
            </w:r>
            <w:bookmarkEnd w:id="1"/>
          </w:p>
        </w:tc>
        <w:tc>
          <w:tcPr>
            <w:tcW w:w="2380" w:type="dxa"/>
            <w:tcBorders>
              <w:top w:val="nil"/>
              <w:left w:val="nil"/>
              <w:bottom w:val="single" w:sz="8" w:space="0" w:color="auto"/>
              <w:right w:val="single" w:sz="8" w:space="0" w:color="auto"/>
            </w:tcBorders>
            <w:shd w:val="clear" w:color="auto" w:fill="auto"/>
            <w:vAlign w:val="center"/>
          </w:tcPr>
          <w:p w14:paraId="2BC7CE84"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无锡大山机械有限公司</w:t>
            </w:r>
          </w:p>
        </w:tc>
        <w:tc>
          <w:tcPr>
            <w:tcW w:w="960" w:type="dxa"/>
            <w:tcBorders>
              <w:top w:val="nil"/>
              <w:left w:val="nil"/>
              <w:bottom w:val="single" w:sz="8" w:space="0" w:color="auto"/>
              <w:right w:val="single" w:sz="8" w:space="0" w:color="auto"/>
            </w:tcBorders>
            <w:shd w:val="clear" w:color="auto" w:fill="auto"/>
            <w:noWrap/>
            <w:vAlign w:val="center"/>
          </w:tcPr>
          <w:p w14:paraId="2B4A6D9A"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2015.1</w:t>
            </w:r>
          </w:p>
        </w:tc>
        <w:tc>
          <w:tcPr>
            <w:tcW w:w="960" w:type="dxa"/>
            <w:tcBorders>
              <w:top w:val="nil"/>
              <w:left w:val="nil"/>
              <w:bottom w:val="single" w:sz="8" w:space="0" w:color="auto"/>
              <w:right w:val="single" w:sz="8" w:space="0" w:color="auto"/>
            </w:tcBorders>
            <w:shd w:val="clear" w:color="auto" w:fill="auto"/>
            <w:noWrap/>
            <w:vAlign w:val="center"/>
          </w:tcPr>
          <w:p w14:paraId="615B8A01"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78600</w:t>
            </w:r>
          </w:p>
        </w:tc>
        <w:tc>
          <w:tcPr>
            <w:tcW w:w="960" w:type="dxa"/>
            <w:tcBorders>
              <w:top w:val="nil"/>
              <w:left w:val="nil"/>
              <w:bottom w:val="single" w:sz="8" w:space="0" w:color="auto"/>
              <w:right w:val="single" w:sz="8" w:space="0" w:color="auto"/>
            </w:tcBorders>
            <w:shd w:val="clear" w:color="auto" w:fill="auto"/>
            <w:noWrap/>
            <w:vAlign w:val="center"/>
          </w:tcPr>
          <w:p w14:paraId="0FCA3922" w14:textId="77777777" w:rsidR="00996A32" w:rsidRDefault="0019500C">
            <w:pPr>
              <w:widowControl/>
              <w:snapToGrid/>
              <w:spacing w:before="0" w:after="0"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96A32" w14:paraId="0B43120C" w14:textId="77777777">
        <w:trPr>
          <w:trHeight w:val="470"/>
        </w:trPr>
        <w:tc>
          <w:tcPr>
            <w:tcW w:w="960" w:type="dxa"/>
            <w:tcBorders>
              <w:top w:val="nil"/>
              <w:left w:val="single" w:sz="8" w:space="0" w:color="auto"/>
              <w:bottom w:val="single" w:sz="8" w:space="0" w:color="auto"/>
              <w:right w:val="single" w:sz="8" w:space="0" w:color="auto"/>
            </w:tcBorders>
            <w:shd w:val="clear" w:color="auto" w:fill="auto"/>
            <w:vAlign w:val="center"/>
          </w:tcPr>
          <w:p w14:paraId="4FC05E3F"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开合模液压站</w:t>
            </w:r>
          </w:p>
        </w:tc>
        <w:tc>
          <w:tcPr>
            <w:tcW w:w="960" w:type="dxa"/>
            <w:tcBorders>
              <w:top w:val="nil"/>
              <w:left w:val="nil"/>
              <w:bottom w:val="single" w:sz="8" w:space="0" w:color="auto"/>
              <w:right w:val="single" w:sz="8" w:space="0" w:color="auto"/>
            </w:tcBorders>
            <w:shd w:val="clear" w:color="auto" w:fill="auto"/>
            <w:vAlign w:val="center"/>
          </w:tcPr>
          <w:p w14:paraId="21EC64AA" w14:textId="77777777" w:rsidR="00996A32" w:rsidRDefault="0019500C">
            <w:pPr>
              <w:widowControl/>
              <w:snapToGrid/>
              <w:spacing w:before="0" w:after="0"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40" w:type="dxa"/>
            <w:tcBorders>
              <w:top w:val="nil"/>
              <w:left w:val="nil"/>
              <w:bottom w:val="single" w:sz="8" w:space="0" w:color="auto"/>
              <w:right w:val="single" w:sz="8" w:space="0" w:color="auto"/>
            </w:tcBorders>
            <w:shd w:val="clear" w:color="auto" w:fill="auto"/>
            <w:noWrap/>
            <w:vAlign w:val="center"/>
          </w:tcPr>
          <w:p w14:paraId="04DE9611"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noWrap/>
            <w:vAlign w:val="center"/>
          </w:tcPr>
          <w:p w14:paraId="6A2FC884" w14:textId="77777777" w:rsidR="00996A32" w:rsidRDefault="0019500C">
            <w:pPr>
              <w:widowControl/>
              <w:snapToGrid/>
              <w:spacing w:before="0" w:after="0"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380" w:type="dxa"/>
            <w:tcBorders>
              <w:top w:val="nil"/>
              <w:left w:val="nil"/>
              <w:bottom w:val="single" w:sz="8" w:space="0" w:color="auto"/>
              <w:right w:val="single" w:sz="8" w:space="0" w:color="auto"/>
            </w:tcBorders>
            <w:shd w:val="clear" w:color="auto" w:fill="auto"/>
            <w:vAlign w:val="center"/>
          </w:tcPr>
          <w:p w14:paraId="462C4E96" w14:textId="77777777" w:rsidR="00996A32" w:rsidRDefault="0019500C">
            <w:pPr>
              <w:widowControl/>
              <w:snapToGrid/>
              <w:spacing w:before="0" w:after="0"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noWrap/>
            <w:vAlign w:val="center"/>
          </w:tcPr>
          <w:p w14:paraId="2CCFBA24"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1988.6</w:t>
            </w:r>
          </w:p>
        </w:tc>
        <w:tc>
          <w:tcPr>
            <w:tcW w:w="960" w:type="dxa"/>
            <w:tcBorders>
              <w:top w:val="nil"/>
              <w:left w:val="nil"/>
              <w:bottom w:val="single" w:sz="8" w:space="0" w:color="auto"/>
              <w:right w:val="single" w:sz="8" w:space="0" w:color="auto"/>
            </w:tcBorders>
            <w:shd w:val="clear" w:color="auto" w:fill="auto"/>
            <w:vAlign w:val="center"/>
          </w:tcPr>
          <w:p w14:paraId="3824D544" w14:textId="77777777" w:rsidR="00996A32" w:rsidRDefault="0019500C">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1000</w:t>
            </w:r>
          </w:p>
        </w:tc>
        <w:tc>
          <w:tcPr>
            <w:tcW w:w="960" w:type="dxa"/>
            <w:tcBorders>
              <w:top w:val="nil"/>
              <w:left w:val="nil"/>
              <w:bottom w:val="single" w:sz="8" w:space="0" w:color="auto"/>
              <w:right w:val="single" w:sz="8" w:space="0" w:color="auto"/>
            </w:tcBorders>
            <w:shd w:val="clear" w:color="auto" w:fill="auto"/>
            <w:vAlign w:val="center"/>
          </w:tcPr>
          <w:p w14:paraId="7816518A" w14:textId="77777777" w:rsidR="00996A32" w:rsidRDefault="0019500C">
            <w:pPr>
              <w:widowControl/>
              <w:snapToGrid/>
              <w:spacing w:before="0" w:after="0" w:line="240" w:lineRule="auto"/>
              <w:ind w:firstLineChars="0" w:firstLine="0"/>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自制</w:t>
            </w:r>
          </w:p>
        </w:tc>
      </w:tr>
      <w:tr w:rsidR="00996A32" w14:paraId="0B4BA33F" w14:textId="77777777">
        <w:trPr>
          <w:trHeight w:val="29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7181407" w14:textId="77777777" w:rsidR="00996A32" w:rsidRDefault="0019500C">
            <w:pPr>
              <w:widowControl/>
              <w:snapToGrid/>
              <w:spacing w:before="0" w:after="0" w:line="240" w:lineRule="auto"/>
              <w:ind w:firstLineChars="0" w:firstLine="0"/>
              <w:jc w:val="center"/>
              <w:rPr>
                <w:rFonts w:ascii="等线" w:eastAsia="等线" w:hAnsi="等线" w:cs="宋体"/>
                <w:b/>
                <w:bCs/>
                <w:color w:val="000000"/>
                <w:kern w:val="0"/>
                <w:sz w:val="18"/>
                <w:szCs w:val="18"/>
              </w:rPr>
            </w:pPr>
            <w:r>
              <w:rPr>
                <w:rFonts w:ascii="等线" w:eastAsia="等线" w:hAnsi="等线" w:cs="宋体" w:hint="eastAsia"/>
                <w:b/>
                <w:bCs/>
                <w:color w:val="000000"/>
                <w:kern w:val="0"/>
                <w:sz w:val="18"/>
                <w:szCs w:val="18"/>
              </w:rPr>
              <w:t>合计</w:t>
            </w:r>
          </w:p>
        </w:tc>
        <w:tc>
          <w:tcPr>
            <w:tcW w:w="740" w:type="dxa"/>
            <w:tcBorders>
              <w:top w:val="nil"/>
              <w:left w:val="nil"/>
              <w:bottom w:val="single" w:sz="8" w:space="0" w:color="auto"/>
              <w:right w:val="single" w:sz="8" w:space="0" w:color="auto"/>
            </w:tcBorders>
            <w:shd w:val="clear" w:color="auto" w:fill="auto"/>
            <w:noWrap/>
            <w:vAlign w:val="center"/>
          </w:tcPr>
          <w:p w14:paraId="61C516D3" w14:textId="77777777" w:rsidR="00996A32" w:rsidRDefault="0019500C">
            <w:pPr>
              <w:widowControl/>
              <w:snapToGrid/>
              <w:spacing w:before="0" w:after="0" w:line="240" w:lineRule="auto"/>
              <w:ind w:firstLineChars="0" w:firstLine="0"/>
              <w:jc w:val="center"/>
              <w:rPr>
                <w:rFonts w:eastAsia="宋体"/>
                <w:b/>
                <w:bCs/>
                <w:color w:val="000000"/>
                <w:kern w:val="0"/>
                <w:sz w:val="18"/>
                <w:szCs w:val="18"/>
              </w:rPr>
            </w:pPr>
            <w:r>
              <w:rPr>
                <w:rFonts w:eastAsia="宋体"/>
                <w:b/>
                <w:bCs/>
                <w:color w:val="000000"/>
                <w:kern w:val="0"/>
                <w:sz w:val="18"/>
                <w:szCs w:val="18"/>
              </w:rPr>
              <w:t>8</w:t>
            </w:r>
          </w:p>
        </w:tc>
        <w:tc>
          <w:tcPr>
            <w:tcW w:w="960" w:type="dxa"/>
            <w:tcBorders>
              <w:top w:val="nil"/>
              <w:left w:val="nil"/>
              <w:bottom w:val="single" w:sz="8" w:space="0" w:color="auto"/>
              <w:right w:val="single" w:sz="8" w:space="0" w:color="auto"/>
            </w:tcBorders>
            <w:shd w:val="clear" w:color="auto" w:fill="auto"/>
            <w:noWrap/>
            <w:vAlign w:val="center"/>
          </w:tcPr>
          <w:p w14:paraId="61098507" w14:textId="77777777" w:rsidR="00996A32" w:rsidRDefault="0019500C">
            <w:pPr>
              <w:widowControl/>
              <w:snapToGrid/>
              <w:spacing w:before="0" w:after="0" w:line="240" w:lineRule="auto"/>
              <w:ind w:firstLineChars="0" w:firstLine="0"/>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2380" w:type="dxa"/>
            <w:tcBorders>
              <w:top w:val="nil"/>
              <w:left w:val="nil"/>
              <w:bottom w:val="single" w:sz="8" w:space="0" w:color="auto"/>
              <w:right w:val="single" w:sz="8" w:space="0" w:color="auto"/>
            </w:tcBorders>
            <w:shd w:val="clear" w:color="auto" w:fill="auto"/>
            <w:noWrap/>
            <w:vAlign w:val="center"/>
          </w:tcPr>
          <w:p w14:paraId="4541385B" w14:textId="77777777" w:rsidR="00996A32" w:rsidRDefault="0019500C">
            <w:pPr>
              <w:widowControl/>
              <w:snapToGrid/>
              <w:spacing w:before="0" w:after="0" w:line="240" w:lineRule="auto"/>
              <w:ind w:firstLineChars="0" w:firstLine="0"/>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noWrap/>
            <w:vAlign w:val="center"/>
          </w:tcPr>
          <w:p w14:paraId="721BDA97" w14:textId="77777777" w:rsidR="00996A32" w:rsidRDefault="0019500C">
            <w:pPr>
              <w:widowControl/>
              <w:snapToGrid/>
              <w:spacing w:before="0" w:after="0" w:line="240" w:lineRule="auto"/>
              <w:ind w:firstLineChars="0" w:firstLine="0"/>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noWrap/>
            <w:vAlign w:val="center"/>
          </w:tcPr>
          <w:p w14:paraId="319DC366" w14:textId="77777777" w:rsidR="00996A32" w:rsidRDefault="0019500C">
            <w:pPr>
              <w:widowControl/>
              <w:snapToGrid/>
              <w:spacing w:before="0" w:after="0" w:line="240" w:lineRule="auto"/>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271117</w:t>
            </w:r>
          </w:p>
        </w:tc>
        <w:tc>
          <w:tcPr>
            <w:tcW w:w="960" w:type="dxa"/>
            <w:tcBorders>
              <w:top w:val="nil"/>
              <w:left w:val="nil"/>
              <w:bottom w:val="single" w:sz="8" w:space="0" w:color="auto"/>
              <w:right w:val="single" w:sz="8" w:space="0" w:color="auto"/>
            </w:tcBorders>
            <w:shd w:val="clear" w:color="auto" w:fill="auto"/>
            <w:noWrap/>
            <w:vAlign w:val="center"/>
          </w:tcPr>
          <w:p w14:paraId="0C5DF34E" w14:textId="77777777" w:rsidR="00996A32" w:rsidRDefault="0019500C">
            <w:pPr>
              <w:widowControl/>
              <w:snapToGrid/>
              <w:spacing w:before="0" w:after="0"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bl>
    <w:p w14:paraId="6FC26C4B" w14:textId="77777777" w:rsidR="00996A32" w:rsidRDefault="00996A32">
      <w:pPr>
        <w:spacing w:before="0" w:after="0" w:line="240" w:lineRule="auto"/>
        <w:ind w:firstLineChars="0" w:firstLine="0"/>
      </w:pPr>
    </w:p>
    <w:p w14:paraId="10C1733C" w14:textId="77777777" w:rsidR="00996A32" w:rsidRDefault="00996A32">
      <w:pPr>
        <w:spacing w:before="0" w:after="0" w:line="240" w:lineRule="auto"/>
        <w:ind w:firstLineChars="0" w:firstLine="0"/>
      </w:pPr>
    </w:p>
    <w:p w14:paraId="686E6D2E" w14:textId="77777777" w:rsidR="00996A32" w:rsidRDefault="00996A32">
      <w:pPr>
        <w:ind w:firstLineChars="0" w:firstLine="0"/>
        <w:rPr>
          <w:rFonts w:hint="eastAsia"/>
        </w:rPr>
      </w:pPr>
    </w:p>
    <w:p w14:paraId="3FAE2DF4" w14:textId="77777777" w:rsidR="008D243F" w:rsidRDefault="008D243F">
      <w:pPr>
        <w:ind w:firstLineChars="0" w:firstLine="0"/>
      </w:pPr>
    </w:p>
    <w:p w14:paraId="2FDFE709" w14:textId="7AE321B3" w:rsidR="00996A32" w:rsidRPr="008D243F" w:rsidRDefault="0019500C" w:rsidP="008D243F">
      <w:pPr>
        <w:ind w:firstLineChars="0" w:firstLine="0"/>
      </w:pPr>
      <w:r>
        <w:rPr>
          <w:rFonts w:hint="eastAsia"/>
        </w:rPr>
        <w:lastRenderedPageBreak/>
        <w:t>附件</w:t>
      </w:r>
      <w:r>
        <w:rPr>
          <w:rFonts w:hint="eastAsia"/>
        </w:rPr>
        <w:t>3.</w:t>
      </w:r>
      <w:r>
        <w:rPr>
          <w:rFonts w:hint="eastAsia"/>
        </w:rPr>
        <w:t>承租方信用评分规则</w:t>
      </w:r>
    </w:p>
    <w:p w14:paraId="3BAF071B" w14:textId="77777777" w:rsidR="00996A32" w:rsidRDefault="0019500C">
      <w:pPr>
        <w:ind w:firstLineChars="0" w:firstLine="0"/>
        <w:jc w:val="center"/>
        <w:rPr>
          <w:b/>
        </w:rPr>
      </w:pPr>
      <w:r>
        <w:rPr>
          <w:rFonts w:hint="eastAsia"/>
          <w:b/>
        </w:rPr>
        <w:t>四川长江液压件有限责任公司</w:t>
      </w:r>
    </w:p>
    <w:p w14:paraId="44B0718C" w14:textId="77777777" w:rsidR="00996A32" w:rsidRDefault="0019500C">
      <w:pPr>
        <w:ind w:firstLineChars="0" w:firstLine="0"/>
        <w:jc w:val="center"/>
        <w:rPr>
          <w:b/>
        </w:rPr>
      </w:pPr>
      <w:r>
        <w:rPr>
          <w:rFonts w:hint="eastAsia"/>
          <w:b/>
        </w:rPr>
        <w:t>承租方信用评分规则</w:t>
      </w:r>
    </w:p>
    <w:p w14:paraId="4000E06D" w14:textId="77777777" w:rsidR="00996A32" w:rsidRDefault="0019500C">
      <w:pPr>
        <w:ind w:firstLine="480"/>
      </w:pPr>
      <w:r>
        <w:rPr>
          <w:rFonts w:hint="eastAsia"/>
        </w:rPr>
        <w:t>一、适用范围</w:t>
      </w:r>
    </w:p>
    <w:p w14:paraId="7CAE83E5" w14:textId="77777777" w:rsidR="00996A32" w:rsidRDefault="0019500C">
      <w:pPr>
        <w:ind w:firstLine="480"/>
      </w:pPr>
      <w:r>
        <w:rPr>
          <w:rFonts w:hint="eastAsia"/>
        </w:rPr>
        <w:t>适用于四川长江液压件有限责任公司（以下简称“四川长液公司”）资产的承租方。</w:t>
      </w:r>
    </w:p>
    <w:p w14:paraId="4E06E146" w14:textId="77777777" w:rsidR="00996A32" w:rsidRDefault="0019500C">
      <w:pPr>
        <w:ind w:firstLine="480"/>
      </w:pPr>
      <w:r>
        <w:rPr>
          <w:rFonts w:hint="eastAsia"/>
        </w:rPr>
        <w:t>二、评分办法</w:t>
      </w:r>
    </w:p>
    <w:p w14:paraId="78FD28A5" w14:textId="77777777" w:rsidR="00996A32" w:rsidRDefault="0019500C">
      <w:pPr>
        <w:ind w:firstLine="480"/>
      </w:pPr>
      <w:r>
        <w:rPr>
          <w:rFonts w:hint="eastAsia"/>
        </w:rPr>
        <w:t>四川长液公司在一个合同期内的每个租赁年度对承租方进行信用评分（基数分</w:t>
      </w:r>
      <w:r>
        <w:rPr>
          <w:rFonts w:hint="eastAsia"/>
        </w:rPr>
        <w:t>100</w:t>
      </w:r>
      <w:r>
        <w:rPr>
          <w:rFonts w:hint="eastAsia"/>
        </w:rPr>
        <w:t>分，扣完为止），评分规则如下：</w:t>
      </w:r>
    </w:p>
    <w:p w14:paraId="230D4990" w14:textId="77777777" w:rsidR="00996A32" w:rsidRDefault="0019500C">
      <w:pPr>
        <w:ind w:firstLine="480"/>
      </w:pPr>
      <w:r>
        <w:rPr>
          <w:rFonts w:hint="eastAsia"/>
        </w:rPr>
        <w:t>对于逾期缴纳租金的承租方，按每次逾期自然天数</w:t>
      </w:r>
      <w:r>
        <w:rPr>
          <w:rFonts w:hint="eastAsia"/>
        </w:rPr>
        <w:t>(</w:t>
      </w:r>
      <w:r>
        <w:rPr>
          <w:rFonts w:hint="eastAsia"/>
        </w:rPr>
        <w:t>以合同约定租金缴纳日期和我司银行账户租金到账日期为计算逾期时间依据</w:t>
      </w:r>
      <w:r>
        <w:rPr>
          <w:rFonts w:hint="eastAsia"/>
        </w:rPr>
        <w:t>)</w:t>
      </w:r>
      <w:r>
        <w:rPr>
          <w:rFonts w:hint="eastAsia"/>
        </w:rPr>
        <w:t>给予相应信用扣分</w:t>
      </w:r>
      <w:r>
        <w:rPr>
          <w:rFonts w:hint="eastAsia"/>
        </w:rPr>
        <w:t>:</w:t>
      </w:r>
    </w:p>
    <w:p w14:paraId="4FCBEA76" w14:textId="77777777" w:rsidR="00996A32" w:rsidRDefault="0019500C">
      <w:pPr>
        <w:ind w:firstLineChars="0" w:firstLine="0"/>
      </w:pPr>
      <w:r>
        <w:rPr>
          <w:rFonts w:hint="eastAsia"/>
        </w:rPr>
        <w:t>逾期</w:t>
      </w:r>
      <w:r>
        <w:rPr>
          <w:rFonts w:hint="eastAsia"/>
        </w:rPr>
        <w:t>1-15</w:t>
      </w:r>
      <w:r>
        <w:rPr>
          <w:rFonts w:hint="eastAsia"/>
        </w:rPr>
        <w:t>日内，扣</w:t>
      </w:r>
      <w:r>
        <w:rPr>
          <w:rFonts w:hint="eastAsia"/>
        </w:rPr>
        <w:t>2</w:t>
      </w:r>
      <w:r>
        <w:rPr>
          <w:rFonts w:hint="eastAsia"/>
        </w:rPr>
        <w:t>分；</w:t>
      </w:r>
    </w:p>
    <w:p w14:paraId="5CEE7FD7" w14:textId="77777777" w:rsidR="00996A32" w:rsidRDefault="0019500C">
      <w:pPr>
        <w:ind w:firstLineChars="0" w:firstLine="0"/>
      </w:pPr>
      <w:r>
        <w:rPr>
          <w:rFonts w:hint="eastAsia"/>
        </w:rPr>
        <w:t>逾期</w:t>
      </w:r>
      <w:r>
        <w:rPr>
          <w:rFonts w:hint="eastAsia"/>
        </w:rPr>
        <w:t>16-30</w:t>
      </w:r>
      <w:r>
        <w:rPr>
          <w:rFonts w:hint="eastAsia"/>
        </w:rPr>
        <w:t>日内，扣</w:t>
      </w:r>
      <w:r>
        <w:rPr>
          <w:rFonts w:hint="eastAsia"/>
        </w:rPr>
        <w:t>5</w:t>
      </w:r>
      <w:r>
        <w:rPr>
          <w:rFonts w:hint="eastAsia"/>
        </w:rPr>
        <w:t>分；</w:t>
      </w:r>
    </w:p>
    <w:p w14:paraId="44AB462E" w14:textId="77777777" w:rsidR="00996A32" w:rsidRDefault="0019500C">
      <w:pPr>
        <w:ind w:firstLineChars="0" w:firstLine="0"/>
      </w:pPr>
      <w:r>
        <w:rPr>
          <w:rFonts w:hint="eastAsia"/>
        </w:rPr>
        <w:t>逾期</w:t>
      </w:r>
      <w:r>
        <w:rPr>
          <w:rFonts w:hint="eastAsia"/>
        </w:rPr>
        <w:t>31-60</w:t>
      </w:r>
      <w:r>
        <w:rPr>
          <w:rFonts w:hint="eastAsia"/>
        </w:rPr>
        <w:t>日内，扣</w:t>
      </w:r>
      <w:r>
        <w:rPr>
          <w:rFonts w:hint="eastAsia"/>
        </w:rPr>
        <w:t>10</w:t>
      </w:r>
      <w:r>
        <w:rPr>
          <w:rFonts w:hint="eastAsia"/>
        </w:rPr>
        <w:t>分；</w:t>
      </w:r>
    </w:p>
    <w:p w14:paraId="79B01BD6" w14:textId="77777777" w:rsidR="00996A32" w:rsidRDefault="0019500C">
      <w:pPr>
        <w:ind w:firstLineChars="0" w:firstLine="0"/>
      </w:pPr>
      <w:r>
        <w:rPr>
          <w:rFonts w:hint="eastAsia"/>
        </w:rPr>
        <w:t>逾期</w:t>
      </w:r>
      <w:r>
        <w:rPr>
          <w:rFonts w:hint="eastAsia"/>
        </w:rPr>
        <w:t>61-90</w:t>
      </w:r>
      <w:r>
        <w:rPr>
          <w:rFonts w:hint="eastAsia"/>
        </w:rPr>
        <w:t>日内，扣</w:t>
      </w:r>
      <w:r>
        <w:rPr>
          <w:rFonts w:hint="eastAsia"/>
        </w:rPr>
        <w:t>20</w:t>
      </w:r>
      <w:r>
        <w:rPr>
          <w:rFonts w:hint="eastAsia"/>
        </w:rPr>
        <w:t>分；</w:t>
      </w:r>
    </w:p>
    <w:p w14:paraId="7428EBBB" w14:textId="77777777" w:rsidR="00996A32" w:rsidRDefault="0019500C">
      <w:pPr>
        <w:ind w:firstLineChars="0" w:firstLine="0"/>
      </w:pPr>
      <w:r>
        <w:rPr>
          <w:rFonts w:hint="eastAsia"/>
        </w:rPr>
        <w:t>逾期</w:t>
      </w:r>
      <w:r>
        <w:rPr>
          <w:rFonts w:hint="eastAsia"/>
        </w:rPr>
        <w:t>90</w:t>
      </w:r>
      <w:r>
        <w:rPr>
          <w:rFonts w:hint="eastAsia"/>
        </w:rPr>
        <w:t>日以上，扣</w:t>
      </w:r>
      <w:r>
        <w:rPr>
          <w:rFonts w:hint="eastAsia"/>
        </w:rPr>
        <w:t>40</w:t>
      </w:r>
      <w:r>
        <w:rPr>
          <w:rFonts w:hint="eastAsia"/>
        </w:rPr>
        <w:t>分。</w:t>
      </w:r>
    </w:p>
    <w:p w14:paraId="60E86309" w14:textId="77777777" w:rsidR="00996A32" w:rsidRDefault="0019500C">
      <w:pPr>
        <w:ind w:firstLine="480"/>
      </w:pPr>
      <w:r>
        <w:rPr>
          <w:rFonts w:hint="eastAsia"/>
        </w:rPr>
        <w:t>三、</w:t>
      </w:r>
      <w:r>
        <w:rPr>
          <w:rFonts w:hint="eastAsia"/>
        </w:rPr>
        <w:t xml:space="preserve"> </w:t>
      </w:r>
      <w:r>
        <w:rPr>
          <w:rFonts w:hint="eastAsia"/>
        </w:rPr>
        <w:t>信用等级评定</w:t>
      </w:r>
    </w:p>
    <w:p w14:paraId="4E2C4515" w14:textId="77777777" w:rsidR="00996A32" w:rsidRDefault="0019500C">
      <w:pPr>
        <w:ind w:firstLine="480"/>
      </w:pPr>
      <w:r>
        <w:rPr>
          <w:rFonts w:hint="eastAsia"/>
        </w:rPr>
        <w:t>四川长液公司根据承租方在一个合同期内的信用评分（加权平均分数）进行信用等级评定。承租方信用等级分为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五个等级，具体如下：</w:t>
      </w:r>
    </w:p>
    <w:tbl>
      <w:tblPr>
        <w:tblStyle w:val="TableNormal"/>
        <w:tblW w:w="8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6"/>
        <w:gridCol w:w="1799"/>
        <w:gridCol w:w="4536"/>
      </w:tblGrid>
      <w:tr w:rsidR="00996A32" w14:paraId="3601973F" w14:textId="77777777">
        <w:trPr>
          <w:trHeight w:val="505"/>
        </w:trPr>
        <w:tc>
          <w:tcPr>
            <w:tcW w:w="1134" w:type="dxa"/>
            <w:vAlign w:val="center"/>
          </w:tcPr>
          <w:p w14:paraId="1363174A" w14:textId="77777777" w:rsidR="00996A32" w:rsidRDefault="0019500C">
            <w:pPr>
              <w:ind w:firstLineChars="0" w:firstLine="0"/>
              <w:jc w:val="center"/>
            </w:pPr>
            <w:r>
              <w:rPr>
                <w:rFonts w:hint="eastAsia"/>
              </w:rPr>
              <w:t>信用等级</w:t>
            </w:r>
          </w:p>
        </w:tc>
        <w:tc>
          <w:tcPr>
            <w:tcW w:w="1276" w:type="dxa"/>
            <w:vAlign w:val="center"/>
          </w:tcPr>
          <w:p w14:paraId="5B81317F" w14:textId="77777777" w:rsidR="00996A32" w:rsidRDefault="0019500C">
            <w:pPr>
              <w:ind w:firstLineChars="0" w:firstLine="0"/>
              <w:jc w:val="center"/>
            </w:pPr>
            <w:r>
              <w:rPr>
                <w:rFonts w:hint="eastAsia"/>
              </w:rPr>
              <w:t>信用评分</w:t>
            </w:r>
          </w:p>
        </w:tc>
        <w:tc>
          <w:tcPr>
            <w:tcW w:w="1799" w:type="dxa"/>
            <w:vAlign w:val="center"/>
          </w:tcPr>
          <w:p w14:paraId="0654B726" w14:textId="77777777" w:rsidR="00996A32" w:rsidRDefault="0019500C">
            <w:pPr>
              <w:ind w:firstLineChars="0" w:firstLine="0"/>
              <w:jc w:val="center"/>
            </w:pPr>
            <w:r>
              <w:rPr>
                <w:rFonts w:hint="eastAsia"/>
              </w:rPr>
              <w:t>信用风险提示</w:t>
            </w:r>
          </w:p>
        </w:tc>
        <w:tc>
          <w:tcPr>
            <w:tcW w:w="4536" w:type="dxa"/>
            <w:vAlign w:val="center"/>
          </w:tcPr>
          <w:p w14:paraId="7B02D064" w14:textId="77777777" w:rsidR="00996A32" w:rsidRDefault="0019500C">
            <w:pPr>
              <w:ind w:firstLineChars="0" w:firstLine="0"/>
              <w:jc w:val="center"/>
            </w:pPr>
            <w:r>
              <w:rPr>
                <w:rFonts w:hint="eastAsia"/>
              </w:rPr>
              <w:t>信用惩戒</w:t>
            </w:r>
          </w:p>
        </w:tc>
      </w:tr>
      <w:tr w:rsidR="00996A32" w14:paraId="675FB0EC" w14:textId="77777777">
        <w:trPr>
          <w:trHeight w:val="505"/>
        </w:trPr>
        <w:tc>
          <w:tcPr>
            <w:tcW w:w="1134" w:type="dxa"/>
            <w:vAlign w:val="center"/>
          </w:tcPr>
          <w:p w14:paraId="76141CBB" w14:textId="77777777" w:rsidR="00996A32" w:rsidRDefault="0019500C">
            <w:pPr>
              <w:ind w:firstLineChars="0" w:firstLine="0"/>
              <w:jc w:val="center"/>
            </w:pPr>
            <w:r>
              <w:rPr>
                <w:rFonts w:hint="eastAsia"/>
              </w:rPr>
              <w:t>A</w:t>
            </w:r>
          </w:p>
        </w:tc>
        <w:tc>
          <w:tcPr>
            <w:tcW w:w="1276" w:type="dxa"/>
            <w:vAlign w:val="center"/>
          </w:tcPr>
          <w:p w14:paraId="7C9F31C2" w14:textId="77777777" w:rsidR="00996A32" w:rsidRDefault="0019500C">
            <w:pPr>
              <w:ind w:firstLineChars="0" w:firstLine="0"/>
              <w:jc w:val="center"/>
            </w:pPr>
            <w:r>
              <w:rPr>
                <w:rFonts w:hint="eastAsia"/>
              </w:rPr>
              <w:t>85</w:t>
            </w:r>
            <w:r>
              <w:rPr>
                <w:rFonts w:hint="eastAsia"/>
              </w:rPr>
              <w:t>及以上</w:t>
            </w:r>
          </w:p>
        </w:tc>
        <w:tc>
          <w:tcPr>
            <w:tcW w:w="1799" w:type="dxa"/>
            <w:vAlign w:val="center"/>
          </w:tcPr>
          <w:p w14:paraId="0244DB30" w14:textId="77777777" w:rsidR="00996A32" w:rsidRDefault="0019500C">
            <w:pPr>
              <w:ind w:firstLineChars="0" w:firstLine="0"/>
              <w:jc w:val="center"/>
            </w:pPr>
            <w:r>
              <w:rPr>
                <w:rFonts w:hint="eastAsia"/>
              </w:rPr>
              <w:t>信用优</w:t>
            </w:r>
          </w:p>
        </w:tc>
        <w:tc>
          <w:tcPr>
            <w:tcW w:w="4536" w:type="dxa"/>
            <w:vAlign w:val="center"/>
          </w:tcPr>
          <w:p w14:paraId="26996FB8" w14:textId="77777777" w:rsidR="00996A32" w:rsidRDefault="0019500C">
            <w:pPr>
              <w:ind w:firstLineChars="0" w:firstLine="0"/>
              <w:jc w:val="center"/>
            </w:pPr>
            <w:r>
              <w:rPr>
                <w:rFonts w:hint="eastAsia"/>
              </w:rPr>
              <w:t>无</w:t>
            </w:r>
          </w:p>
        </w:tc>
      </w:tr>
      <w:tr w:rsidR="00996A32" w14:paraId="55E7B7BA" w14:textId="77777777">
        <w:trPr>
          <w:trHeight w:val="505"/>
        </w:trPr>
        <w:tc>
          <w:tcPr>
            <w:tcW w:w="1134" w:type="dxa"/>
            <w:vAlign w:val="center"/>
          </w:tcPr>
          <w:p w14:paraId="5D133EBA" w14:textId="77777777" w:rsidR="00996A32" w:rsidRDefault="0019500C">
            <w:pPr>
              <w:ind w:firstLineChars="0" w:firstLine="0"/>
              <w:jc w:val="center"/>
            </w:pPr>
            <w:r>
              <w:rPr>
                <w:rFonts w:hint="eastAsia"/>
              </w:rPr>
              <w:t>B</w:t>
            </w:r>
          </w:p>
        </w:tc>
        <w:tc>
          <w:tcPr>
            <w:tcW w:w="1276" w:type="dxa"/>
            <w:vAlign w:val="center"/>
          </w:tcPr>
          <w:p w14:paraId="465A3C1D" w14:textId="77777777" w:rsidR="00996A32" w:rsidRDefault="0019500C">
            <w:pPr>
              <w:ind w:firstLineChars="0" w:firstLine="0"/>
              <w:jc w:val="center"/>
            </w:pPr>
            <w:r>
              <w:rPr>
                <w:rFonts w:hint="eastAsia"/>
              </w:rPr>
              <w:t>84-70</w:t>
            </w:r>
          </w:p>
        </w:tc>
        <w:tc>
          <w:tcPr>
            <w:tcW w:w="1799" w:type="dxa"/>
            <w:vAlign w:val="center"/>
          </w:tcPr>
          <w:p w14:paraId="0EC0F683" w14:textId="77777777" w:rsidR="00996A32" w:rsidRDefault="0019500C">
            <w:pPr>
              <w:ind w:firstLineChars="0" w:firstLine="0"/>
              <w:jc w:val="center"/>
            </w:pPr>
            <w:r>
              <w:rPr>
                <w:rFonts w:hint="eastAsia"/>
              </w:rPr>
              <w:t>信用良</w:t>
            </w:r>
          </w:p>
        </w:tc>
        <w:tc>
          <w:tcPr>
            <w:tcW w:w="4536" w:type="dxa"/>
            <w:vAlign w:val="center"/>
          </w:tcPr>
          <w:p w14:paraId="1BBDA821" w14:textId="77777777" w:rsidR="00996A32" w:rsidRDefault="0019500C">
            <w:pPr>
              <w:ind w:firstLineChars="0" w:firstLine="0"/>
              <w:jc w:val="center"/>
            </w:pPr>
            <w:r>
              <w:rPr>
                <w:rFonts w:hint="eastAsia"/>
              </w:rPr>
              <w:t>追加</w:t>
            </w:r>
            <w:r>
              <w:rPr>
                <w:rFonts w:hint="eastAsia"/>
              </w:rPr>
              <w:t>1</w:t>
            </w:r>
            <w:r>
              <w:rPr>
                <w:rFonts w:hint="eastAsia"/>
              </w:rPr>
              <w:t>个月履约保证金</w:t>
            </w:r>
          </w:p>
        </w:tc>
      </w:tr>
      <w:tr w:rsidR="00996A32" w14:paraId="64D6BE5A" w14:textId="77777777">
        <w:trPr>
          <w:trHeight w:val="505"/>
        </w:trPr>
        <w:tc>
          <w:tcPr>
            <w:tcW w:w="1134" w:type="dxa"/>
            <w:vAlign w:val="center"/>
          </w:tcPr>
          <w:p w14:paraId="35804E30" w14:textId="77777777" w:rsidR="00996A32" w:rsidRDefault="0019500C">
            <w:pPr>
              <w:ind w:firstLineChars="0" w:firstLine="0"/>
              <w:jc w:val="center"/>
            </w:pPr>
            <w:r>
              <w:rPr>
                <w:rFonts w:hint="eastAsia"/>
              </w:rPr>
              <w:t>C</w:t>
            </w:r>
          </w:p>
        </w:tc>
        <w:tc>
          <w:tcPr>
            <w:tcW w:w="1276" w:type="dxa"/>
            <w:vAlign w:val="center"/>
          </w:tcPr>
          <w:p w14:paraId="16444555" w14:textId="77777777" w:rsidR="00996A32" w:rsidRDefault="0019500C">
            <w:pPr>
              <w:ind w:firstLineChars="0" w:firstLine="0"/>
              <w:jc w:val="center"/>
            </w:pPr>
            <w:r>
              <w:rPr>
                <w:rFonts w:hint="eastAsia"/>
              </w:rPr>
              <w:t>69-60</w:t>
            </w:r>
          </w:p>
        </w:tc>
        <w:tc>
          <w:tcPr>
            <w:tcW w:w="1799" w:type="dxa"/>
            <w:vAlign w:val="center"/>
          </w:tcPr>
          <w:p w14:paraId="542482B4" w14:textId="77777777" w:rsidR="00996A32" w:rsidRDefault="0019500C">
            <w:pPr>
              <w:ind w:firstLineChars="0" w:firstLine="0"/>
              <w:jc w:val="center"/>
            </w:pPr>
            <w:r>
              <w:rPr>
                <w:rFonts w:hint="eastAsia"/>
              </w:rPr>
              <w:t>信用一般</w:t>
            </w:r>
          </w:p>
        </w:tc>
        <w:tc>
          <w:tcPr>
            <w:tcW w:w="4536" w:type="dxa"/>
            <w:vAlign w:val="center"/>
          </w:tcPr>
          <w:p w14:paraId="17B70F68" w14:textId="77777777" w:rsidR="00996A32" w:rsidRDefault="0019500C">
            <w:pPr>
              <w:ind w:firstLineChars="0" w:firstLine="0"/>
              <w:jc w:val="center"/>
            </w:pPr>
            <w:r>
              <w:rPr>
                <w:rFonts w:hint="eastAsia"/>
              </w:rPr>
              <w:t>追加</w:t>
            </w:r>
            <w:r>
              <w:rPr>
                <w:rFonts w:hint="eastAsia"/>
              </w:rPr>
              <w:t>2</w:t>
            </w:r>
            <w:r>
              <w:rPr>
                <w:rFonts w:hint="eastAsia"/>
              </w:rPr>
              <w:t>个月履约保证金</w:t>
            </w:r>
          </w:p>
        </w:tc>
      </w:tr>
      <w:tr w:rsidR="00996A32" w14:paraId="0C74077D" w14:textId="77777777">
        <w:trPr>
          <w:trHeight w:val="505"/>
        </w:trPr>
        <w:tc>
          <w:tcPr>
            <w:tcW w:w="1134" w:type="dxa"/>
            <w:vAlign w:val="center"/>
          </w:tcPr>
          <w:p w14:paraId="1D517E08" w14:textId="77777777" w:rsidR="00996A32" w:rsidRDefault="0019500C">
            <w:pPr>
              <w:ind w:firstLineChars="0" w:firstLine="0"/>
              <w:jc w:val="center"/>
            </w:pPr>
            <w:r>
              <w:rPr>
                <w:rFonts w:hint="eastAsia"/>
              </w:rPr>
              <w:lastRenderedPageBreak/>
              <w:t>D</w:t>
            </w:r>
          </w:p>
        </w:tc>
        <w:tc>
          <w:tcPr>
            <w:tcW w:w="1276" w:type="dxa"/>
            <w:vAlign w:val="center"/>
          </w:tcPr>
          <w:p w14:paraId="5A5CABA2" w14:textId="77777777" w:rsidR="00996A32" w:rsidRDefault="0019500C">
            <w:pPr>
              <w:ind w:firstLineChars="0" w:firstLine="0"/>
              <w:jc w:val="center"/>
            </w:pPr>
            <w:r>
              <w:rPr>
                <w:rFonts w:hint="eastAsia"/>
              </w:rPr>
              <w:t>59-50</w:t>
            </w:r>
          </w:p>
        </w:tc>
        <w:tc>
          <w:tcPr>
            <w:tcW w:w="1799" w:type="dxa"/>
            <w:vAlign w:val="center"/>
          </w:tcPr>
          <w:p w14:paraId="30313E91" w14:textId="77777777" w:rsidR="00996A32" w:rsidRDefault="0019500C">
            <w:pPr>
              <w:ind w:firstLineChars="0" w:firstLine="0"/>
              <w:jc w:val="center"/>
            </w:pPr>
            <w:r>
              <w:rPr>
                <w:rFonts w:hint="eastAsia"/>
              </w:rPr>
              <w:t>存在信用风险</w:t>
            </w:r>
          </w:p>
        </w:tc>
        <w:tc>
          <w:tcPr>
            <w:tcW w:w="4536" w:type="dxa"/>
            <w:vAlign w:val="center"/>
          </w:tcPr>
          <w:p w14:paraId="6C3A1CE9" w14:textId="77777777" w:rsidR="00996A32" w:rsidRDefault="0019500C">
            <w:pPr>
              <w:ind w:firstLineChars="0" w:firstLine="0"/>
              <w:jc w:val="center"/>
            </w:pPr>
            <w:r>
              <w:rPr>
                <w:rFonts w:hint="eastAsia"/>
              </w:rPr>
              <w:t>追加</w:t>
            </w:r>
            <w:r>
              <w:rPr>
                <w:rFonts w:hint="eastAsia"/>
              </w:rPr>
              <w:t>3</w:t>
            </w:r>
            <w:r>
              <w:rPr>
                <w:rFonts w:hint="eastAsia"/>
              </w:rPr>
              <w:t>个月履约保证金且其最大股东需提供担保</w:t>
            </w:r>
          </w:p>
        </w:tc>
      </w:tr>
      <w:tr w:rsidR="00996A32" w14:paraId="597892D1" w14:textId="77777777">
        <w:trPr>
          <w:trHeight w:val="505"/>
        </w:trPr>
        <w:tc>
          <w:tcPr>
            <w:tcW w:w="1134" w:type="dxa"/>
            <w:vAlign w:val="center"/>
          </w:tcPr>
          <w:p w14:paraId="5A500F2A" w14:textId="77777777" w:rsidR="00996A32" w:rsidRDefault="0019500C">
            <w:pPr>
              <w:ind w:firstLineChars="0" w:firstLine="0"/>
              <w:jc w:val="center"/>
            </w:pPr>
            <w:r>
              <w:rPr>
                <w:rFonts w:hint="eastAsia"/>
              </w:rPr>
              <w:t>E</w:t>
            </w:r>
          </w:p>
        </w:tc>
        <w:tc>
          <w:tcPr>
            <w:tcW w:w="1276" w:type="dxa"/>
            <w:vAlign w:val="center"/>
          </w:tcPr>
          <w:p w14:paraId="4C62A668" w14:textId="77777777" w:rsidR="00996A32" w:rsidRDefault="0019500C">
            <w:pPr>
              <w:ind w:firstLineChars="0" w:firstLine="0"/>
              <w:jc w:val="center"/>
            </w:pPr>
            <w:r>
              <w:rPr>
                <w:rFonts w:hint="eastAsia"/>
              </w:rPr>
              <w:t>49</w:t>
            </w:r>
            <w:r>
              <w:rPr>
                <w:rFonts w:hint="eastAsia"/>
              </w:rPr>
              <w:t>及以下</w:t>
            </w:r>
          </w:p>
        </w:tc>
        <w:tc>
          <w:tcPr>
            <w:tcW w:w="1799" w:type="dxa"/>
            <w:vAlign w:val="center"/>
          </w:tcPr>
          <w:p w14:paraId="7F96D00D" w14:textId="77777777" w:rsidR="00996A32" w:rsidRDefault="0019500C">
            <w:pPr>
              <w:ind w:firstLineChars="0" w:firstLine="0"/>
              <w:jc w:val="center"/>
            </w:pPr>
            <w:r>
              <w:rPr>
                <w:rFonts w:hint="eastAsia"/>
              </w:rPr>
              <w:t>较高信用风险</w:t>
            </w:r>
          </w:p>
        </w:tc>
        <w:tc>
          <w:tcPr>
            <w:tcW w:w="4536" w:type="dxa"/>
            <w:vAlign w:val="center"/>
          </w:tcPr>
          <w:p w14:paraId="57B86E9E" w14:textId="77777777" w:rsidR="00996A32" w:rsidRDefault="0019500C">
            <w:pPr>
              <w:ind w:firstLineChars="0" w:firstLine="0"/>
              <w:jc w:val="center"/>
            </w:pPr>
            <w:r>
              <w:rPr>
                <w:rFonts w:hint="eastAsia"/>
              </w:rPr>
              <w:t>列为负面清单，取消竞租资格</w:t>
            </w:r>
          </w:p>
        </w:tc>
      </w:tr>
    </w:tbl>
    <w:p w14:paraId="01A53997" w14:textId="77777777" w:rsidR="00996A32" w:rsidRDefault="0019500C">
      <w:pPr>
        <w:ind w:firstLine="480"/>
      </w:pPr>
      <w:r>
        <w:rPr>
          <w:rFonts w:hint="eastAsia"/>
        </w:rPr>
        <w:t>说明：信用惩戒适用于租赁期满后重新招租的原承租方。</w:t>
      </w:r>
    </w:p>
    <w:p w14:paraId="3A9F0B48" w14:textId="77777777" w:rsidR="00996A32" w:rsidRDefault="0019500C">
      <w:pPr>
        <w:ind w:firstLine="480"/>
      </w:pPr>
      <w:r>
        <w:rPr>
          <w:rFonts w:hint="eastAsia"/>
        </w:rPr>
        <w:t>四、</w:t>
      </w:r>
      <w:r>
        <w:rPr>
          <w:rFonts w:hint="eastAsia"/>
        </w:rPr>
        <w:t xml:space="preserve"> </w:t>
      </w:r>
      <w:r>
        <w:rPr>
          <w:rFonts w:hint="eastAsia"/>
        </w:rPr>
        <w:t>禁止参加四川长液公司资产招租的情形</w:t>
      </w:r>
    </w:p>
    <w:p w14:paraId="02809032" w14:textId="77777777" w:rsidR="00996A32" w:rsidRDefault="0019500C">
      <w:pPr>
        <w:ind w:firstLine="480"/>
      </w:pPr>
      <w:r>
        <w:rPr>
          <w:rFonts w:hint="eastAsia"/>
        </w:rPr>
        <w:t>存在以下情形的企业或个人</w:t>
      </w:r>
      <w:r>
        <w:rPr>
          <w:rFonts w:hint="eastAsia"/>
        </w:rPr>
        <w:t>(</w:t>
      </w:r>
      <w:r>
        <w:rPr>
          <w:rFonts w:hint="eastAsia"/>
        </w:rPr>
        <w:t>含其新设立的企业</w:t>
      </w:r>
      <w:r>
        <w:rPr>
          <w:rFonts w:hint="eastAsia"/>
        </w:rPr>
        <w:t>)</w:t>
      </w:r>
      <w:r>
        <w:rPr>
          <w:rFonts w:hint="eastAsia"/>
        </w:rPr>
        <w:t>不得参加四川长液公司资产招租：</w:t>
      </w:r>
    </w:p>
    <w:p w14:paraId="19286E3C" w14:textId="77777777" w:rsidR="00996A32" w:rsidRDefault="0019500C">
      <w:pPr>
        <w:ind w:firstLine="480"/>
      </w:pPr>
      <w:r>
        <w:rPr>
          <w:rFonts w:hint="eastAsia"/>
        </w:rPr>
        <w:t>(1)</w:t>
      </w:r>
      <w:r>
        <w:rPr>
          <w:rFonts w:hint="eastAsia"/>
        </w:rPr>
        <w:t>拖欠</w:t>
      </w:r>
      <w:proofErr w:type="gramStart"/>
      <w:r>
        <w:rPr>
          <w:rFonts w:hint="eastAsia"/>
        </w:rPr>
        <w:t>海翼集团</w:t>
      </w:r>
      <w:proofErr w:type="gramEnd"/>
      <w:r>
        <w:rPr>
          <w:rFonts w:hint="eastAsia"/>
        </w:rPr>
        <w:t>及所属企业租金的；</w:t>
      </w:r>
    </w:p>
    <w:p w14:paraId="3F19C3C0" w14:textId="77777777" w:rsidR="00996A32" w:rsidRDefault="0019500C">
      <w:pPr>
        <w:ind w:firstLine="480"/>
      </w:pPr>
      <w:r>
        <w:rPr>
          <w:rFonts w:hint="eastAsia"/>
        </w:rPr>
        <w:t>(2)</w:t>
      </w:r>
      <w:r>
        <w:rPr>
          <w:rFonts w:hint="eastAsia"/>
        </w:rPr>
        <w:t>存在恶意违约或存在被司法机关判定为承担违约责任；</w:t>
      </w:r>
    </w:p>
    <w:p w14:paraId="5A775FF6" w14:textId="77777777" w:rsidR="00996A32" w:rsidRDefault="0019500C">
      <w:pPr>
        <w:ind w:firstLine="480"/>
      </w:pPr>
      <w:r>
        <w:rPr>
          <w:rFonts w:hint="eastAsia"/>
        </w:rPr>
        <w:t>(3)</w:t>
      </w:r>
      <w:r>
        <w:rPr>
          <w:rFonts w:hint="eastAsia"/>
        </w:rPr>
        <w:t>在全国企业信用信息公示系统上存在不良信用记录的；</w:t>
      </w:r>
    </w:p>
    <w:p w14:paraId="30A93796" w14:textId="77777777" w:rsidR="00996A32" w:rsidRDefault="0019500C">
      <w:pPr>
        <w:ind w:firstLine="480"/>
      </w:pPr>
      <w:r>
        <w:rPr>
          <w:rFonts w:hint="eastAsia"/>
        </w:rPr>
        <w:t>(4)</w:t>
      </w:r>
      <w:r>
        <w:rPr>
          <w:rFonts w:hint="eastAsia"/>
        </w:rPr>
        <w:t>被列入国贸控股集团、</w:t>
      </w:r>
      <w:proofErr w:type="gramStart"/>
      <w:r>
        <w:rPr>
          <w:rFonts w:hint="eastAsia"/>
        </w:rPr>
        <w:t>海翼集团</w:t>
      </w:r>
      <w:proofErr w:type="gramEnd"/>
      <w:r>
        <w:rPr>
          <w:rFonts w:hint="eastAsia"/>
        </w:rPr>
        <w:t>或其他厦门市国有企业承租信用体系负面名单的；</w:t>
      </w:r>
    </w:p>
    <w:p w14:paraId="66C63973" w14:textId="77777777" w:rsidR="00996A32" w:rsidRDefault="0019500C">
      <w:pPr>
        <w:ind w:firstLine="480"/>
      </w:pPr>
      <w:r>
        <w:rPr>
          <w:rFonts w:hint="eastAsia"/>
        </w:rPr>
        <w:t>(5)</w:t>
      </w:r>
      <w:r>
        <w:rPr>
          <w:rFonts w:hint="eastAsia"/>
        </w:rPr>
        <w:t>被列入失信被执行人员名单的；</w:t>
      </w:r>
    </w:p>
    <w:p w14:paraId="5D96E750" w14:textId="77777777" w:rsidR="00996A32" w:rsidRDefault="0019500C">
      <w:pPr>
        <w:ind w:firstLine="480"/>
      </w:pPr>
      <w:r>
        <w:rPr>
          <w:rFonts w:hint="eastAsia"/>
        </w:rPr>
        <w:t>(6)</w:t>
      </w:r>
      <w:r>
        <w:rPr>
          <w:rFonts w:hint="eastAsia"/>
        </w:rPr>
        <w:t>其他可能影响全面履行资产租赁合同的情形。</w:t>
      </w:r>
    </w:p>
    <w:sectPr w:rsidR="00996A32">
      <w:headerReference w:type="even" r:id="rId7"/>
      <w:headerReference w:type="default" r:id="rId8"/>
      <w:footerReference w:type="even" r:id="rId9"/>
      <w:footerReference w:type="default" r:id="rId10"/>
      <w:headerReference w:type="first" r:id="rId11"/>
      <w:footerReference w:type="first" r:id="rId12"/>
      <w:pgSz w:w="11906" w:h="16838"/>
      <w:pgMar w:top="794" w:right="1797" w:bottom="794" w:left="1797"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20A57" w14:textId="77777777" w:rsidR="0019500C" w:rsidRDefault="0019500C">
      <w:pPr>
        <w:spacing w:line="240" w:lineRule="auto"/>
        <w:ind w:firstLine="480"/>
      </w:pPr>
      <w:r>
        <w:separator/>
      </w:r>
    </w:p>
  </w:endnote>
  <w:endnote w:type="continuationSeparator" w:id="0">
    <w:p w14:paraId="590FE63D" w14:textId="77777777" w:rsidR="0019500C" w:rsidRDefault="0019500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2E126" w14:textId="77777777" w:rsidR="00996A32" w:rsidRDefault="00996A3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C535" w14:textId="77777777" w:rsidR="00996A32" w:rsidRDefault="00996A32">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6A2B1" w14:textId="77777777" w:rsidR="00996A32" w:rsidRDefault="00996A3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F661C" w14:textId="77777777" w:rsidR="0019500C" w:rsidRDefault="0019500C">
      <w:pPr>
        <w:spacing w:before="0" w:after="0" w:line="240" w:lineRule="auto"/>
        <w:ind w:firstLine="480"/>
      </w:pPr>
      <w:r>
        <w:separator/>
      </w:r>
    </w:p>
  </w:footnote>
  <w:footnote w:type="continuationSeparator" w:id="0">
    <w:p w14:paraId="0A80E993" w14:textId="77777777" w:rsidR="0019500C" w:rsidRDefault="0019500C">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407F" w14:textId="77777777" w:rsidR="00996A32" w:rsidRDefault="00996A32">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EC1F0" w14:textId="77777777" w:rsidR="00996A32" w:rsidRDefault="00996A32">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F340" w14:textId="77777777" w:rsidR="00996A32" w:rsidRDefault="00996A3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Y2VlZGIxZDBlZTdkZGRmYjMwZWM1ZDcwMGVhM2QifQ=="/>
  </w:docVars>
  <w:rsids>
    <w:rsidRoot w:val="001F66A4"/>
    <w:rsid w:val="0000332B"/>
    <w:rsid w:val="000078D5"/>
    <w:rsid w:val="0001114B"/>
    <w:rsid w:val="000168E7"/>
    <w:rsid w:val="000244C7"/>
    <w:rsid w:val="00030E49"/>
    <w:rsid w:val="000342CB"/>
    <w:rsid w:val="00034FAA"/>
    <w:rsid w:val="00036F6C"/>
    <w:rsid w:val="00037FBD"/>
    <w:rsid w:val="0005052F"/>
    <w:rsid w:val="00052D02"/>
    <w:rsid w:val="00060E31"/>
    <w:rsid w:val="0007303F"/>
    <w:rsid w:val="000911F3"/>
    <w:rsid w:val="0009125E"/>
    <w:rsid w:val="0009263F"/>
    <w:rsid w:val="000926C7"/>
    <w:rsid w:val="00093DDA"/>
    <w:rsid w:val="000972D2"/>
    <w:rsid w:val="000A10F6"/>
    <w:rsid w:val="000A2641"/>
    <w:rsid w:val="000A33D6"/>
    <w:rsid w:val="000A691E"/>
    <w:rsid w:val="000B124E"/>
    <w:rsid w:val="000B1C1A"/>
    <w:rsid w:val="000C3E9F"/>
    <w:rsid w:val="000C5A13"/>
    <w:rsid w:val="000D04CF"/>
    <w:rsid w:val="000D153E"/>
    <w:rsid w:val="000D2FF7"/>
    <w:rsid w:val="000D43D7"/>
    <w:rsid w:val="000E04C3"/>
    <w:rsid w:val="000E4532"/>
    <w:rsid w:val="000E5D6B"/>
    <w:rsid w:val="000E7BD2"/>
    <w:rsid w:val="000F5D38"/>
    <w:rsid w:val="001017EC"/>
    <w:rsid w:val="00104A7D"/>
    <w:rsid w:val="00120A71"/>
    <w:rsid w:val="00126C21"/>
    <w:rsid w:val="0013249F"/>
    <w:rsid w:val="00140609"/>
    <w:rsid w:val="001407C0"/>
    <w:rsid w:val="00142E6C"/>
    <w:rsid w:val="001439A9"/>
    <w:rsid w:val="00147CE4"/>
    <w:rsid w:val="00150F40"/>
    <w:rsid w:val="00152E69"/>
    <w:rsid w:val="00161263"/>
    <w:rsid w:val="0016335C"/>
    <w:rsid w:val="00163796"/>
    <w:rsid w:val="00164E4C"/>
    <w:rsid w:val="00164FE3"/>
    <w:rsid w:val="001804B4"/>
    <w:rsid w:val="00184E33"/>
    <w:rsid w:val="00190AE9"/>
    <w:rsid w:val="001915F5"/>
    <w:rsid w:val="00192ECB"/>
    <w:rsid w:val="0019500C"/>
    <w:rsid w:val="00195726"/>
    <w:rsid w:val="00195E3F"/>
    <w:rsid w:val="001A19C7"/>
    <w:rsid w:val="001A6646"/>
    <w:rsid w:val="001A7103"/>
    <w:rsid w:val="001A79D7"/>
    <w:rsid w:val="001B3260"/>
    <w:rsid w:val="001C1819"/>
    <w:rsid w:val="001C5758"/>
    <w:rsid w:val="001C77C2"/>
    <w:rsid w:val="001C7BCB"/>
    <w:rsid w:val="001D2FDC"/>
    <w:rsid w:val="001D79F4"/>
    <w:rsid w:val="001E6698"/>
    <w:rsid w:val="001F3A46"/>
    <w:rsid w:val="001F5D50"/>
    <w:rsid w:val="001F66A4"/>
    <w:rsid w:val="00201458"/>
    <w:rsid w:val="00205FCB"/>
    <w:rsid w:val="002064D7"/>
    <w:rsid w:val="00206B2E"/>
    <w:rsid w:val="002122F8"/>
    <w:rsid w:val="00217BA1"/>
    <w:rsid w:val="0022214A"/>
    <w:rsid w:val="00222669"/>
    <w:rsid w:val="00225606"/>
    <w:rsid w:val="00225A44"/>
    <w:rsid w:val="00225BBA"/>
    <w:rsid w:val="00236D66"/>
    <w:rsid w:val="00241B16"/>
    <w:rsid w:val="002451EB"/>
    <w:rsid w:val="00245A81"/>
    <w:rsid w:val="002477F6"/>
    <w:rsid w:val="002502FF"/>
    <w:rsid w:val="00256D62"/>
    <w:rsid w:val="002606E8"/>
    <w:rsid w:val="00260C67"/>
    <w:rsid w:val="0026368D"/>
    <w:rsid w:val="0026644B"/>
    <w:rsid w:val="002731D0"/>
    <w:rsid w:val="00277C19"/>
    <w:rsid w:val="00284FF7"/>
    <w:rsid w:val="002871EC"/>
    <w:rsid w:val="002907C7"/>
    <w:rsid w:val="00290AAE"/>
    <w:rsid w:val="002A2EA3"/>
    <w:rsid w:val="002B096B"/>
    <w:rsid w:val="002B0F18"/>
    <w:rsid w:val="002C0A63"/>
    <w:rsid w:val="002C5DBB"/>
    <w:rsid w:val="002D5E88"/>
    <w:rsid w:val="002D65B9"/>
    <w:rsid w:val="002D68F1"/>
    <w:rsid w:val="002E2217"/>
    <w:rsid w:val="002E6E8D"/>
    <w:rsid w:val="002F0F40"/>
    <w:rsid w:val="002F2644"/>
    <w:rsid w:val="002F7CD9"/>
    <w:rsid w:val="0030326D"/>
    <w:rsid w:val="00304664"/>
    <w:rsid w:val="00316278"/>
    <w:rsid w:val="00326549"/>
    <w:rsid w:val="003309F9"/>
    <w:rsid w:val="00331A8E"/>
    <w:rsid w:val="003460C7"/>
    <w:rsid w:val="00351CAA"/>
    <w:rsid w:val="00355469"/>
    <w:rsid w:val="00357F04"/>
    <w:rsid w:val="00361A6B"/>
    <w:rsid w:val="003705FA"/>
    <w:rsid w:val="0037223C"/>
    <w:rsid w:val="0037407B"/>
    <w:rsid w:val="00377329"/>
    <w:rsid w:val="00380183"/>
    <w:rsid w:val="00385547"/>
    <w:rsid w:val="00385F4B"/>
    <w:rsid w:val="00390C38"/>
    <w:rsid w:val="00392B8E"/>
    <w:rsid w:val="00395A98"/>
    <w:rsid w:val="00395DBB"/>
    <w:rsid w:val="00397292"/>
    <w:rsid w:val="003A00D4"/>
    <w:rsid w:val="003A389C"/>
    <w:rsid w:val="003A4888"/>
    <w:rsid w:val="003A4A04"/>
    <w:rsid w:val="003B1797"/>
    <w:rsid w:val="003B21EA"/>
    <w:rsid w:val="003C354A"/>
    <w:rsid w:val="003E2213"/>
    <w:rsid w:val="003E57D2"/>
    <w:rsid w:val="003E7C2C"/>
    <w:rsid w:val="003F0CE9"/>
    <w:rsid w:val="003F3DB3"/>
    <w:rsid w:val="004011B8"/>
    <w:rsid w:val="00404781"/>
    <w:rsid w:val="00405838"/>
    <w:rsid w:val="004079D8"/>
    <w:rsid w:val="00407F61"/>
    <w:rsid w:val="00413993"/>
    <w:rsid w:val="00416238"/>
    <w:rsid w:val="0042194B"/>
    <w:rsid w:val="00422874"/>
    <w:rsid w:val="00426962"/>
    <w:rsid w:val="00431677"/>
    <w:rsid w:val="004436E2"/>
    <w:rsid w:val="0045162C"/>
    <w:rsid w:val="00451D34"/>
    <w:rsid w:val="00454FBB"/>
    <w:rsid w:val="00460143"/>
    <w:rsid w:val="00467849"/>
    <w:rsid w:val="00472020"/>
    <w:rsid w:val="0047264E"/>
    <w:rsid w:val="00475355"/>
    <w:rsid w:val="00476C7C"/>
    <w:rsid w:val="00482C25"/>
    <w:rsid w:val="0048677A"/>
    <w:rsid w:val="00491205"/>
    <w:rsid w:val="00491ACF"/>
    <w:rsid w:val="0049690D"/>
    <w:rsid w:val="004A4200"/>
    <w:rsid w:val="004A6DAA"/>
    <w:rsid w:val="004A7BE0"/>
    <w:rsid w:val="004B0D3A"/>
    <w:rsid w:val="004B325F"/>
    <w:rsid w:val="004B42D8"/>
    <w:rsid w:val="004C7848"/>
    <w:rsid w:val="004D050C"/>
    <w:rsid w:val="004D3FC7"/>
    <w:rsid w:val="004D64FB"/>
    <w:rsid w:val="004D735A"/>
    <w:rsid w:val="004D783B"/>
    <w:rsid w:val="004E18C0"/>
    <w:rsid w:val="004E2758"/>
    <w:rsid w:val="004E3E67"/>
    <w:rsid w:val="004F5E01"/>
    <w:rsid w:val="00502662"/>
    <w:rsid w:val="005048D9"/>
    <w:rsid w:val="005055D8"/>
    <w:rsid w:val="00506336"/>
    <w:rsid w:val="00507ABA"/>
    <w:rsid w:val="0052031F"/>
    <w:rsid w:val="00521416"/>
    <w:rsid w:val="0052160D"/>
    <w:rsid w:val="005264EB"/>
    <w:rsid w:val="005277C2"/>
    <w:rsid w:val="005371C6"/>
    <w:rsid w:val="00551ECF"/>
    <w:rsid w:val="00552AF0"/>
    <w:rsid w:val="00560C3F"/>
    <w:rsid w:val="00561970"/>
    <w:rsid w:val="005641BC"/>
    <w:rsid w:val="0056491F"/>
    <w:rsid w:val="00564E80"/>
    <w:rsid w:val="00571F14"/>
    <w:rsid w:val="00573919"/>
    <w:rsid w:val="00576210"/>
    <w:rsid w:val="005800DF"/>
    <w:rsid w:val="00590C65"/>
    <w:rsid w:val="00590D5B"/>
    <w:rsid w:val="005924F6"/>
    <w:rsid w:val="00595508"/>
    <w:rsid w:val="005963C8"/>
    <w:rsid w:val="005A091F"/>
    <w:rsid w:val="005A09D3"/>
    <w:rsid w:val="005A31E8"/>
    <w:rsid w:val="005B4BCF"/>
    <w:rsid w:val="005B5B10"/>
    <w:rsid w:val="005D048C"/>
    <w:rsid w:val="005D14E8"/>
    <w:rsid w:val="005D17A1"/>
    <w:rsid w:val="005D22E1"/>
    <w:rsid w:val="005D236C"/>
    <w:rsid w:val="005D4E49"/>
    <w:rsid w:val="005E7750"/>
    <w:rsid w:val="005F01AF"/>
    <w:rsid w:val="005F0563"/>
    <w:rsid w:val="005F66D3"/>
    <w:rsid w:val="005F6D0F"/>
    <w:rsid w:val="005F7CC4"/>
    <w:rsid w:val="005F7DF6"/>
    <w:rsid w:val="00600AA1"/>
    <w:rsid w:val="0060118D"/>
    <w:rsid w:val="006014D4"/>
    <w:rsid w:val="00602064"/>
    <w:rsid w:val="0060299C"/>
    <w:rsid w:val="00607DE2"/>
    <w:rsid w:val="006147F2"/>
    <w:rsid w:val="006167F0"/>
    <w:rsid w:val="00623C52"/>
    <w:rsid w:val="00624442"/>
    <w:rsid w:val="006267A2"/>
    <w:rsid w:val="006305C5"/>
    <w:rsid w:val="00631F99"/>
    <w:rsid w:val="00633E7E"/>
    <w:rsid w:val="0063446C"/>
    <w:rsid w:val="00634C64"/>
    <w:rsid w:val="00636703"/>
    <w:rsid w:val="00637258"/>
    <w:rsid w:val="00640023"/>
    <w:rsid w:val="00640AE4"/>
    <w:rsid w:val="0064370E"/>
    <w:rsid w:val="00664E4C"/>
    <w:rsid w:val="006707D3"/>
    <w:rsid w:val="00674362"/>
    <w:rsid w:val="006743DA"/>
    <w:rsid w:val="00675D10"/>
    <w:rsid w:val="00683EE3"/>
    <w:rsid w:val="00687EC2"/>
    <w:rsid w:val="006914B3"/>
    <w:rsid w:val="006A1338"/>
    <w:rsid w:val="006B4D31"/>
    <w:rsid w:val="006C3447"/>
    <w:rsid w:val="006D7534"/>
    <w:rsid w:val="006E2C81"/>
    <w:rsid w:val="006E4153"/>
    <w:rsid w:val="006E5730"/>
    <w:rsid w:val="006E5D79"/>
    <w:rsid w:val="006E62F5"/>
    <w:rsid w:val="006F2A75"/>
    <w:rsid w:val="006F34BC"/>
    <w:rsid w:val="006F6246"/>
    <w:rsid w:val="006F6ED1"/>
    <w:rsid w:val="00705942"/>
    <w:rsid w:val="00714983"/>
    <w:rsid w:val="00715295"/>
    <w:rsid w:val="00715346"/>
    <w:rsid w:val="00715DA4"/>
    <w:rsid w:val="00716764"/>
    <w:rsid w:val="00723690"/>
    <w:rsid w:val="00726394"/>
    <w:rsid w:val="007322E2"/>
    <w:rsid w:val="00734014"/>
    <w:rsid w:val="00735691"/>
    <w:rsid w:val="00737D80"/>
    <w:rsid w:val="00745B5A"/>
    <w:rsid w:val="00747809"/>
    <w:rsid w:val="00747AC5"/>
    <w:rsid w:val="00761A72"/>
    <w:rsid w:val="00767ABB"/>
    <w:rsid w:val="00777492"/>
    <w:rsid w:val="0078087F"/>
    <w:rsid w:val="00782CD5"/>
    <w:rsid w:val="00785CDC"/>
    <w:rsid w:val="00787455"/>
    <w:rsid w:val="0079633E"/>
    <w:rsid w:val="007A0345"/>
    <w:rsid w:val="007A11B2"/>
    <w:rsid w:val="007B091F"/>
    <w:rsid w:val="007B597B"/>
    <w:rsid w:val="007C3168"/>
    <w:rsid w:val="007C353D"/>
    <w:rsid w:val="007D195E"/>
    <w:rsid w:val="007D2F84"/>
    <w:rsid w:val="007D4957"/>
    <w:rsid w:val="007E1F41"/>
    <w:rsid w:val="007F08B7"/>
    <w:rsid w:val="007F2F0D"/>
    <w:rsid w:val="007F4724"/>
    <w:rsid w:val="007F6639"/>
    <w:rsid w:val="007F757E"/>
    <w:rsid w:val="0080230C"/>
    <w:rsid w:val="00830BA0"/>
    <w:rsid w:val="0083746D"/>
    <w:rsid w:val="0083785D"/>
    <w:rsid w:val="00840B30"/>
    <w:rsid w:val="00843059"/>
    <w:rsid w:val="0084337C"/>
    <w:rsid w:val="00843999"/>
    <w:rsid w:val="00851F9A"/>
    <w:rsid w:val="008522E2"/>
    <w:rsid w:val="008529D9"/>
    <w:rsid w:val="00855DC9"/>
    <w:rsid w:val="00867207"/>
    <w:rsid w:val="008700DA"/>
    <w:rsid w:val="008703FC"/>
    <w:rsid w:val="00870A6C"/>
    <w:rsid w:val="008747CB"/>
    <w:rsid w:val="00874DD2"/>
    <w:rsid w:val="0087624D"/>
    <w:rsid w:val="0087701C"/>
    <w:rsid w:val="00880CE0"/>
    <w:rsid w:val="00882CE2"/>
    <w:rsid w:val="00893356"/>
    <w:rsid w:val="00894940"/>
    <w:rsid w:val="008A2969"/>
    <w:rsid w:val="008A5B6B"/>
    <w:rsid w:val="008B522B"/>
    <w:rsid w:val="008B565A"/>
    <w:rsid w:val="008C3CBD"/>
    <w:rsid w:val="008C448C"/>
    <w:rsid w:val="008D025A"/>
    <w:rsid w:val="008D0672"/>
    <w:rsid w:val="008D243F"/>
    <w:rsid w:val="008E04D7"/>
    <w:rsid w:val="008E244A"/>
    <w:rsid w:val="008E2680"/>
    <w:rsid w:val="008E469C"/>
    <w:rsid w:val="008E50A6"/>
    <w:rsid w:val="008E546D"/>
    <w:rsid w:val="008E55A7"/>
    <w:rsid w:val="008F04D3"/>
    <w:rsid w:val="008F230F"/>
    <w:rsid w:val="008F30E7"/>
    <w:rsid w:val="008F47C0"/>
    <w:rsid w:val="00905A5E"/>
    <w:rsid w:val="00906516"/>
    <w:rsid w:val="00910887"/>
    <w:rsid w:val="00914AD3"/>
    <w:rsid w:val="00914E1B"/>
    <w:rsid w:val="00923C15"/>
    <w:rsid w:val="009250A6"/>
    <w:rsid w:val="009304EA"/>
    <w:rsid w:val="00930E66"/>
    <w:rsid w:val="00932277"/>
    <w:rsid w:val="00932D6A"/>
    <w:rsid w:val="0093327E"/>
    <w:rsid w:val="00935162"/>
    <w:rsid w:val="009375C0"/>
    <w:rsid w:val="0093780B"/>
    <w:rsid w:val="009432B7"/>
    <w:rsid w:val="009461EA"/>
    <w:rsid w:val="00946556"/>
    <w:rsid w:val="009509F1"/>
    <w:rsid w:val="00950EBD"/>
    <w:rsid w:val="009518EA"/>
    <w:rsid w:val="00953B91"/>
    <w:rsid w:val="00955F1F"/>
    <w:rsid w:val="00963663"/>
    <w:rsid w:val="009679B2"/>
    <w:rsid w:val="00972E98"/>
    <w:rsid w:val="00975FEA"/>
    <w:rsid w:val="00977662"/>
    <w:rsid w:val="0098064C"/>
    <w:rsid w:val="00980A62"/>
    <w:rsid w:val="00986AF5"/>
    <w:rsid w:val="009875E4"/>
    <w:rsid w:val="00990683"/>
    <w:rsid w:val="009926E9"/>
    <w:rsid w:val="009946D0"/>
    <w:rsid w:val="00996A32"/>
    <w:rsid w:val="009971FE"/>
    <w:rsid w:val="009974B0"/>
    <w:rsid w:val="009A1F4D"/>
    <w:rsid w:val="009A3CC1"/>
    <w:rsid w:val="009A4793"/>
    <w:rsid w:val="009A4825"/>
    <w:rsid w:val="009B158D"/>
    <w:rsid w:val="009B441D"/>
    <w:rsid w:val="009B6F22"/>
    <w:rsid w:val="009C620C"/>
    <w:rsid w:val="009C6FB7"/>
    <w:rsid w:val="009D3D4F"/>
    <w:rsid w:val="009D57B3"/>
    <w:rsid w:val="009E2DDD"/>
    <w:rsid w:val="009E3985"/>
    <w:rsid w:val="009E3F1D"/>
    <w:rsid w:val="009E6D9A"/>
    <w:rsid w:val="009E748A"/>
    <w:rsid w:val="009F677A"/>
    <w:rsid w:val="00A0573C"/>
    <w:rsid w:val="00A06BAE"/>
    <w:rsid w:val="00A078A8"/>
    <w:rsid w:val="00A148DE"/>
    <w:rsid w:val="00A201D8"/>
    <w:rsid w:val="00A2478C"/>
    <w:rsid w:val="00A24F17"/>
    <w:rsid w:val="00A276FB"/>
    <w:rsid w:val="00A36B8D"/>
    <w:rsid w:val="00A44159"/>
    <w:rsid w:val="00A46CA1"/>
    <w:rsid w:val="00A4701D"/>
    <w:rsid w:val="00A56F71"/>
    <w:rsid w:val="00A61F26"/>
    <w:rsid w:val="00A744FE"/>
    <w:rsid w:val="00A80143"/>
    <w:rsid w:val="00A85191"/>
    <w:rsid w:val="00A90146"/>
    <w:rsid w:val="00A91503"/>
    <w:rsid w:val="00A9310B"/>
    <w:rsid w:val="00A9636C"/>
    <w:rsid w:val="00A9765B"/>
    <w:rsid w:val="00AA23B8"/>
    <w:rsid w:val="00AA2B7E"/>
    <w:rsid w:val="00AA3DD9"/>
    <w:rsid w:val="00AB1847"/>
    <w:rsid w:val="00AB302C"/>
    <w:rsid w:val="00AB6704"/>
    <w:rsid w:val="00AB7435"/>
    <w:rsid w:val="00AC1140"/>
    <w:rsid w:val="00AC2306"/>
    <w:rsid w:val="00AC6404"/>
    <w:rsid w:val="00AD1218"/>
    <w:rsid w:val="00AD4EFD"/>
    <w:rsid w:val="00AE2856"/>
    <w:rsid w:val="00AF5A91"/>
    <w:rsid w:val="00AF70E1"/>
    <w:rsid w:val="00B00023"/>
    <w:rsid w:val="00B01557"/>
    <w:rsid w:val="00B05EAB"/>
    <w:rsid w:val="00B07740"/>
    <w:rsid w:val="00B07B16"/>
    <w:rsid w:val="00B10EE7"/>
    <w:rsid w:val="00B12C45"/>
    <w:rsid w:val="00B155EF"/>
    <w:rsid w:val="00B20C70"/>
    <w:rsid w:val="00B30B87"/>
    <w:rsid w:val="00B30B8F"/>
    <w:rsid w:val="00B320FA"/>
    <w:rsid w:val="00B32D23"/>
    <w:rsid w:val="00B356CE"/>
    <w:rsid w:val="00B35A14"/>
    <w:rsid w:val="00B379CA"/>
    <w:rsid w:val="00B51574"/>
    <w:rsid w:val="00B51959"/>
    <w:rsid w:val="00B5341F"/>
    <w:rsid w:val="00B54573"/>
    <w:rsid w:val="00B629E4"/>
    <w:rsid w:val="00B639A7"/>
    <w:rsid w:val="00B64E9A"/>
    <w:rsid w:val="00B70660"/>
    <w:rsid w:val="00B77C59"/>
    <w:rsid w:val="00B87D56"/>
    <w:rsid w:val="00B9392C"/>
    <w:rsid w:val="00B93D3F"/>
    <w:rsid w:val="00B93E6A"/>
    <w:rsid w:val="00B95E64"/>
    <w:rsid w:val="00BA1584"/>
    <w:rsid w:val="00BA293A"/>
    <w:rsid w:val="00BA5B5D"/>
    <w:rsid w:val="00BB3E5F"/>
    <w:rsid w:val="00BD0AFE"/>
    <w:rsid w:val="00BD2642"/>
    <w:rsid w:val="00BD33BB"/>
    <w:rsid w:val="00BD6FFF"/>
    <w:rsid w:val="00BE0267"/>
    <w:rsid w:val="00BE1980"/>
    <w:rsid w:val="00BE268E"/>
    <w:rsid w:val="00BE2760"/>
    <w:rsid w:val="00BF18BB"/>
    <w:rsid w:val="00BF6AB4"/>
    <w:rsid w:val="00C10C87"/>
    <w:rsid w:val="00C11241"/>
    <w:rsid w:val="00C139B0"/>
    <w:rsid w:val="00C13F91"/>
    <w:rsid w:val="00C2193E"/>
    <w:rsid w:val="00C24598"/>
    <w:rsid w:val="00C24C7C"/>
    <w:rsid w:val="00C33D25"/>
    <w:rsid w:val="00C4100B"/>
    <w:rsid w:val="00C418EE"/>
    <w:rsid w:val="00C5183C"/>
    <w:rsid w:val="00C71D76"/>
    <w:rsid w:val="00C726E9"/>
    <w:rsid w:val="00C803FF"/>
    <w:rsid w:val="00C84F0F"/>
    <w:rsid w:val="00C862B1"/>
    <w:rsid w:val="00C908F6"/>
    <w:rsid w:val="00C90A12"/>
    <w:rsid w:val="00CA1270"/>
    <w:rsid w:val="00CA397C"/>
    <w:rsid w:val="00CB38C0"/>
    <w:rsid w:val="00CB3ECD"/>
    <w:rsid w:val="00CB6562"/>
    <w:rsid w:val="00CB6C5D"/>
    <w:rsid w:val="00CB7BAF"/>
    <w:rsid w:val="00CC15AC"/>
    <w:rsid w:val="00CD566C"/>
    <w:rsid w:val="00CD5DBF"/>
    <w:rsid w:val="00CE5BF7"/>
    <w:rsid w:val="00CE6F94"/>
    <w:rsid w:val="00CF11A2"/>
    <w:rsid w:val="00CF15E9"/>
    <w:rsid w:val="00CF3837"/>
    <w:rsid w:val="00D0030C"/>
    <w:rsid w:val="00D01E44"/>
    <w:rsid w:val="00D04B79"/>
    <w:rsid w:val="00D12F85"/>
    <w:rsid w:val="00D143ED"/>
    <w:rsid w:val="00D14583"/>
    <w:rsid w:val="00D154CB"/>
    <w:rsid w:val="00D15869"/>
    <w:rsid w:val="00D161B3"/>
    <w:rsid w:val="00D20BEA"/>
    <w:rsid w:val="00D32BCE"/>
    <w:rsid w:val="00D34CA2"/>
    <w:rsid w:val="00D35A53"/>
    <w:rsid w:val="00D4274E"/>
    <w:rsid w:val="00D45633"/>
    <w:rsid w:val="00D61F2E"/>
    <w:rsid w:val="00D774A4"/>
    <w:rsid w:val="00D77F8A"/>
    <w:rsid w:val="00D801A9"/>
    <w:rsid w:val="00D80EFD"/>
    <w:rsid w:val="00D84153"/>
    <w:rsid w:val="00D90EF9"/>
    <w:rsid w:val="00D962A3"/>
    <w:rsid w:val="00D9637F"/>
    <w:rsid w:val="00DB4A49"/>
    <w:rsid w:val="00DC1681"/>
    <w:rsid w:val="00DE229F"/>
    <w:rsid w:val="00DF000A"/>
    <w:rsid w:val="00DF0413"/>
    <w:rsid w:val="00DF1E00"/>
    <w:rsid w:val="00DF41AB"/>
    <w:rsid w:val="00E03BD4"/>
    <w:rsid w:val="00E042F8"/>
    <w:rsid w:val="00E16F96"/>
    <w:rsid w:val="00E30445"/>
    <w:rsid w:val="00E40A52"/>
    <w:rsid w:val="00E41F5B"/>
    <w:rsid w:val="00E42479"/>
    <w:rsid w:val="00E4281C"/>
    <w:rsid w:val="00E46F5C"/>
    <w:rsid w:val="00E50861"/>
    <w:rsid w:val="00E53764"/>
    <w:rsid w:val="00E67432"/>
    <w:rsid w:val="00E709EE"/>
    <w:rsid w:val="00E71E26"/>
    <w:rsid w:val="00E723AA"/>
    <w:rsid w:val="00E81390"/>
    <w:rsid w:val="00E84F59"/>
    <w:rsid w:val="00E85DD0"/>
    <w:rsid w:val="00E8748E"/>
    <w:rsid w:val="00EA560A"/>
    <w:rsid w:val="00EB0943"/>
    <w:rsid w:val="00EB7209"/>
    <w:rsid w:val="00EC6668"/>
    <w:rsid w:val="00ED000F"/>
    <w:rsid w:val="00ED14CC"/>
    <w:rsid w:val="00ED1900"/>
    <w:rsid w:val="00ED1A89"/>
    <w:rsid w:val="00ED593B"/>
    <w:rsid w:val="00ED5BC6"/>
    <w:rsid w:val="00ED5E2F"/>
    <w:rsid w:val="00EE24F9"/>
    <w:rsid w:val="00EF6657"/>
    <w:rsid w:val="00F0244B"/>
    <w:rsid w:val="00F06DD6"/>
    <w:rsid w:val="00F10752"/>
    <w:rsid w:val="00F11C44"/>
    <w:rsid w:val="00F20BC2"/>
    <w:rsid w:val="00F23410"/>
    <w:rsid w:val="00F23A35"/>
    <w:rsid w:val="00F26F83"/>
    <w:rsid w:val="00F27AAE"/>
    <w:rsid w:val="00F32A3C"/>
    <w:rsid w:val="00F35648"/>
    <w:rsid w:val="00F3760A"/>
    <w:rsid w:val="00F41DBC"/>
    <w:rsid w:val="00F42574"/>
    <w:rsid w:val="00F43114"/>
    <w:rsid w:val="00F44921"/>
    <w:rsid w:val="00F459A6"/>
    <w:rsid w:val="00F50B05"/>
    <w:rsid w:val="00F53DB6"/>
    <w:rsid w:val="00F56760"/>
    <w:rsid w:val="00F662CC"/>
    <w:rsid w:val="00F66C27"/>
    <w:rsid w:val="00F72CE4"/>
    <w:rsid w:val="00F72F65"/>
    <w:rsid w:val="00F746F9"/>
    <w:rsid w:val="00F77AA2"/>
    <w:rsid w:val="00F869D5"/>
    <w:rsid w:val="00F86D96"/>
    <w:rsid w:val="00F9676C"/>
    <w:rsid w:val="00F97911"/>
    <w:rsid w:val="00FA2960"/>
    <w:rsid w:val="00FA2C9A"/>
    <w:rsid w:val="00FB0ACF"/>
    <w:rsid w:val="00FC1DF9"/>
    <w:rsid w:val="00FD1EDB"/>
    <w:rsid w:val="00FD2BE0"/>
    <w:rsid w:val="00FE4661"/>
    <w:rsid w:val="00FE49A4"/>
    <w:rsid w:val="00FF0DAE"/>
    <w:rsid w:val="01AE15BA"/>
    <w:rsid w:val="01C0753F"/>
    <w:rsid w:val="01E44FDB"/>
    <w:rsid w:val="04096F7B"/>
    <w:rsid w:val="04A15AEA"/>
    <w:rsid w:val="0571302A"/>
    <w:rsid w:val="05A52CD4"/>
    <w:rsid w:val="05DB3CAD"/>
    <w:rsid w:val="07092A2E"/>
    <w:rsid w:val="086E55FF"/>
    <w:rsid w:val="08B55B92"/>
    <w:rsid w:val="08DF5C89"/>
    <w:rsid w:val="0A3D0839"/>
    <w:rsid w:val="0A574492"/>
    <w:rsid w:val="0A825391"/>
    <w:rsid w:val="0AE655A0"/>
    <w:rsid w:val="0E1F1149"/>
    <w:rsid w:val="0E285773"/>
    <w:rsid w:val="0E545297"/>
    <w:rsid w:val="0EF45918"/>
    <w:rsid w:val="0FE670A5"/>
    <w:rsid w:val="0FF87EA4"/>
    <w:rsid w:val="104A4BA3"/>
    <w:rsid w:val="106F489B"/>
    <w:rsid w:val="11DA3D05"/>
    <w:rsid w:val="143C2A55"/>
    <w:rsid w:val="145E6E6F"/>
    <w:rsid w:val="14820767"/>
    <w:rsid w:val="14D964F6"/>
    <w:rsid w:val="15A97D1F"/>
    <w:rsid w:val="1706502E"/>
    <w:rsid w:val="174340FA"/>
    <w:rsid w:val="17681DB3"/>
    <w:rsid w:val="18833FC2"/>
    <w:rsid w:val="189A41EE"/>
    <w:rsid w:val="199B5691"/>
    <w:rsid w:val="19D13C3F"/>
    <w:rsid w:val="1ABC669E"/>
    <w:rsid w:val="1AFB4BFA"/>
    <w:rsid w:val="1B083691"/>
    <w:rsid w:val="1B4246C1"/>
    <w:rsid w:val="1B5E1503"/>
    <w:rsid w:val="1B9969DF"/>
    <w:rsid w:val="20847C5E"/>
    <w:rsid w:val="20A0611A"/>
    <w:rsid w:val="20F6042F"/>
    <w:rsid w:val="233F3504"/>
    <w:rsid w:val="23F141F2"/>
    <w:rsid w:val="24DD793C"/>
    <w:rsid w:val="251C0510"/>
    <w:rsid w:val="26D27249"/>
    <w:rsid w:val="27187721"/>
    <w:rsid w:val="274A5031"/>
    <w:rsid w:val="29073EF2"/>
    <w:rsid w:val="29451F54"/>
    <w:rsid w:val="296F6FD1"/>
    <w:rsid w:val="29A44ECD"/>
    <w:rsid w:val="2E813A2E"/>
    <w:rsid w:val="2FB359E6"/>
    <w:rsid w:val="30466CDD"/>
    <w:rsid w:val="31724C36"/>
    <w:rsid w:val="3172765E"/>
    <w:rsid w:val="32610E78"/>
    <w:rsid w:val="33D12D62"/>
    <w:rsid w:val="34452E08"/>
    <w:rsid w:val="3498562E"/>
    <w:rsid w:val="34B1432C"/>
    <w:rsid w:val="34F34F5A"/>
    <w:rsid w:val="39E1196C"/>
    <w:rsid w:val="39E430C3"/>
    <w:rsid w:val="3A085004"/>
    <w:rsid w:val="3A5E5B9C"/>
    <w:rsid w:val="3AFF2AA7"/>
    <w:rsid w:val="3B8E6F04"/>
    <w:rsid w:val="3B9B5A04"/>
    <w:rsid w:val="3D6118F8"/>
    <w:rsid w:val="3DEC12A4"/>
    <w:rsid w:val="3E117DD7"/>
    <w:rsid w:val="3F760B2F"/>
    <w:rsid w:val="3FEE76CB"/>
    <w:rsid w:val="40DF6392"/>
    <w:rsid w:val="41D7321E"/>
    <w:rsid w:val="43014CE6"/>
    <w:rsid w:val="431C74C0"/>
    <w:rsid w:val="44DC50C3"/>
    <w:rsid w:val="45344EFF"/>
    <w:rsid w:val="45725A27"/>
    <w:rsid w:val="47DB6D92"/>
    <w:rsid w:val="480629DA"/>
    <w:rsid w:val="482F5E51"/>
    <w:rsid w:val="4C3D4C91"/>
    <w:rsid w:val="4E994025"/>
    <w:rsid w:val="4F310701"/>
    <w:rsid w:val="4F363F69"/>
    <w:rsid w:val="50D17AA6"/>
    <w:rsid w:val="510A3759"/>
    <w:rsid w:val="520E4D2A"/>
    <w:rsid w:val="528D20F2"/>
    <w:rsid w:val="529671F9"/>
    <w:rsid w:val="529F5982"/>
    <w:rsid w:val="53A969ED"/>
    <w:rsid w:val="561248AB"/>
    <w:rsid w:val="56F333DE"/>
    <w:rsid w:val="576A2A02"/>
    <w:rsid w:val="57E5652D"/>
    <w:rsid w:val="580A32A1"/>
    <w:rsid w:val="596E2405"/>
    <w:rsid w:val="59A0095D"/>
    <w:rsid w:val="5B4F263B"/>
    <w:rsid w:val="5D663C6C"/>
    <w:rsid w:val="5E5D50A6"/>
    <w:rsid w:val="612C2AD6"/>
    <w:rsid w:val="61B76844"/>
    <w:rsid w:val="61DE0274"/>
    <w:rsid w:val="62092E18"/>
    <w:rsid w:val="62233ED9"/>
    <w:rsid w:val="630A5099"/>
    <w:rsid w:val="646802C9"/>
    <w:rsid w:val="64950C40"/>
    <w:rsid w:val="64C03C61"/>
    <w:rsid w:val="669B6734"/>
    <w:rsid w:val="678B49FB"/>
    <w:rsid w:val="67A71109"/>
    <w:rsid w:val="67C63C85"/>
    <w:rsid w:val="67CB129B"/>
    <w:rsid w:val="68854BE0"/>
    <w:rsid w:val="68B63B38"/>
    <w:rsid w:val="693E784B"/>
    <w:rsid w:val="6A9811DC"/>
    <w:rsid w:val="6D920165"/>
    <w:rsid w:val="6E874B31"/>
    <w:rsid w:val="6E8B3532"/>
    <w:rsid w:val="6EB20ABF"/>
    <w:rsid w:val="71AB7A47"/>
    <w:rsid w:val="72231CD3"/>
    <w:rsid w:val="7292189F"/>
    <w:rsid w:val="739F328A"/>
    <w:rsid w:val="74256D6C"/>
    <w:rsid w:val="748C1DB2"/>
    <w:rsid w:val="74C23A26"/>
    <w:rsid w:val="75E11C8A"/>
    <w:rsid w:val="764741E2"/>
    <w:rsid w:val="76C07AF1"/>
    <w:rsid w:val="775E5C88"/>
    <w:rsid w:val="777D59E2"/>
    <w:rsid w:val="78C911F8"/>
    <w:rsid w:val="79CB512B"/>
    <w:rsid w:val="79F66D6D"/>
    <w:rsid w:val="79FA77BE"/>
    <w:rsid w:val="7A85177D"/>
    <w:rsid w:val="7AA44C26"/>
    <w:rsid w:val="7B590712"/>
    <w:rsid w:val="7BC64201"/>
    <w:rsid w:val="7C5C02BC"/>
    <w:rsid w:val="7EA30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4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napToGrid w:val="0"/>
      <w:spacing w:before="90" w:after="60" w:line="520" w:lineRule="exact"/>
      <w:ind w:firstLineChars="200" w:firstLine="560"/>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pPr>
      <w:ind w:leftChars="2500" w:left="100"/>
    </w:pPr>
    <w:rPr>
      <w:rFonts w:cs="Times New Roman"/>
    </w:rPr>
  </w:style>
  <w:style w:type="paragraph" w:styleId="a4">
    <w:name w:val="Balloon Text"/>
    <w:basedOn w:val="a"/>
    <w:link w:val="Char0"/>
    <w:autoRedefine/>
    <w:qFormat/>
    <w:pPr>
      <w:spacing w:before="0" w:after="0" w:line="240" w:lineRule="auto"/>
    </w:pPr>
    <w:rPr>
      <w:rFonts w:cs="Times New Roman"/>
      <w:sz w:val="18"/>
      <w:szCs w:val="18"/>
    </w:rPr>
  </w:style>
  <w:style w:type="paragraph" w:styleId="a5">
    <w:name w:val="footer"/>
    <w:basedOn w:val="a"/>
    <w:link w:val="Char1"/>
    <w:autoRedefine/>
    <w:uiPriority w:val="99"/>
    <w:qFormat/>
    <w:pPr>
      <w:tabs>
        <w:tab w:val="center" w:pos="4153"/>
        <w:tab w:val="right" w:pos="8306"/>
      </w:tabs>
      <w:spacing w:line="240" w:lineRule="atLeast"/>
      <w:jc w:val="left"/>
    </w:pPr>
    <w:rPr>
      <w:rFonts w:cs="Times New Roman"/>
      <w:sz w:val="18"/>
      <w:szCs w:val="18"/>
    </w:rPr>
  </w:style>
  <w:style w:type="paragraph" w:styleId="a6">
    <w:name w:val="header"/>
    <w:basedOn w:val="a"/>
    <w:link w:val="Char2"/>
    <w:autoRedefine/>
    <w:uiPriority w:val="99"/>
    <w:qFormat/>
    <w:pPr>
      <w:pBdr>
        <w:bottom w:val="single" w:sz="6" w:space="1" w:color="auto"/>
      </w:pBdr>
      <w:tabs>
        <w:tab w:val="center" w:pos="4153"/>
        <w:tab w:val="right" w:pos="8306"/>
      </w:tabs>
      <w:spacing w:line="240" w:lineRule="atLeast"/>
      <w:jc w:val="center"/>
    </w:pPr>
    <w:rPr>
      <w:rFonts w:cs="Times New Roman"/>
      <w:sz w:val="18"/>
      <w:szCs w:val="18"/>
    </w:rPr>
  </w:style>
  <w:style w:type="table" w:styleId="a7">
    <w:name w:val="Table Grid"/>
    <w:basedOn w:val="a1"/>
    <w:autoRedefine/>
    <w:qFormat/>
    <w:pPr>
      <w:widowControl w:val="0"/>
      <w:spacing w:before="90" w:after="60" w:line="4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6"/>
    <w:autoRedefine/>
    <w:uiPriority w:val="99"/>
    <w:qFormat/>
    <w:rPr>
      <w:rFonts w:ascii="Calibri" w:eastAsia="仿宋_GB2312" w:hAnsi="Calibri" w:cs="Calibri"/>
      <w:kern w:val="2"/>
      <w:sz w:val="18"/>
      <w:szCs w:val="18"/>
    </w:rPr>
  </w:style>
  <w:style w:type="character" w:customStyle="1" w:styleId="Char1">
    <w:name w:val="页脚 Char"/>
    <w:link w:val="a5"/>
    <w:autoRedefine/>
    <w:uiPriority w:val="99"/>
    <w:qFormat/>
    <w:rPr>
      <w:rFonts w:ascii="Calibri" w:eastAsia="仿宋_GB2312" w:hAnsi="Calibri" w:cs="Calibri"/>
      <w:kern w:val="2"/>
      <w:sz w:val="18"/>
      <w:szCs w:val="18"/>
    </w:rPr>
  </w:style>
  <w:style w:type="character" w:customStyle="1" w:styleId="Char0">
    <w:name w:val="批注框文本 Char"/>
    <w:link w:val="a4"/>
    <w:autoRedefine/>
    <w:qFormat/>
    <w:rPr>
      <w:rFonts w:ascii="Calibri" w:eastAsia="仿宋_GB2312" w:hAnsi="Calibri" w:cs="Calibri"/>
      <w:kern w:val="2"/>
      <w:sz w:val="18"/>
      <w:szCs w:val="18"/>
    </w:rPr>
  </w:style>
  <w:style w:type="paragraph" w:styleId="a8">
    <w:name w:val="No Spacing"/>
    <w:autoRedefine/>
    <w:uiPriority w:val="1"/>
    <w:qFormat/>
    <w:pPr>
      <w:widowControl w:val="0"/>
      <w:jc w:val="both"/>
    </w:pPr>
    <w:rPr>
      <w:rFonts w:ascii="Calibri" w:hAnsi="Calibri"/>
      <w:kern w:val="2"/>
      <w:sz w:val="21"/>
      <w:szCs w:val="22"/>
    </w:rPr>
  </w:style>
  <w:style w:type="character" w:customStyle="1" w:styleId="Char">
    <w:name w:val="日期 Char"/>
    <w:link w:val="a3"/>
    <w:autoRedefine/>
    <w:qFormat/>
    <w:rPr>
      <w:rFonts w:ascii="Calibri" w:eastAsia="仿宋_GB2312" w:hAnsi="Calibri" w:cs="Calibri"/>
      <w:kern w:val="2"/>
      <w:sz w:val="24"/>
      <w:szCs w:val="24"/>
    </w:rPr>
  </w:style>
  <w:style w:type="table" w:customStyle="1" w:styleId="1">
    <w:name w:val="网格型1"/>
    <w:basedOn w:val="a1"/>
    <w:autoRedefine/>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无间隔1"/>
    <w:autoRedefine/>
    <w:uiPriority w:val="1"/>
    <w:qFormat/>
    <w:pPr>
      <w:widowControl w:val="0"/>
      <w:jc w:val="both"/>
    </w:pPr>
    <w:rPr>
      <w:rFonts w:ascii="Calibri" w:hAnsi="Calibri" w:cs="黑体"/>
      <w:kern w:val="2"/>
      <w:sz w:val="21"/>
      <w:szCs w:val="22"/>
    </w:rPr>
  </w:style>
  <w:style w:type="paragraph" w:styleId="a9">
    <w:name w:val="List Paragraph"/>
    <w:basedOn w:val="a"/>
    <w:autoRedefine/>
    <w:uiPriority w:val="34"/>
    <w:qFormat/>
    <w:pPr>
      <w:ind w:firstLine="420"/>
    </w:pPr>
  </w:style>
  <w:style w:type="character" w:customStyle="1" w:styleId="font21">
    <w:name w:val="font21"/>
    <w:basedOn w:val="a0"/>
    <w:autoRedefine/>
    <w:qFormat/>
    <w:rPr>
      <w:rFonts w:ascii="仿宋_GB2312" w:eastAsia="仿宋_GB2312" w:cs="仿宋_GB2312"/>
      <w:color w:val="000000"/>
      <w:sz w:val="21"/>
      <w:szCs w:val="21"/>
      <w:u w:val="none"/>
    </w:rPr>
  </w:style>
  <w:style w:type="character" w:customStyle="1" w:styleId="font31">
    <w:name w:val="font31"/>
    <w:basedOn w:val="a0"/>
    <w:autoRedefine/>
    <w:uiPriority w:val="99"/>
    <w:qFormat/>
    <w:rPr>
      <w:rFonts w:ascii="仿宋" w:eastAsia="仿宋" w:hAnsi="仿宋" w:cs="仿宋" w:hint="eastAsia"/>
      <w:color w:val="000000"/>
      <w:sz w:val="21"/>
      <w:szCs w:val="21"/>
      <w:u w:val="none"/>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napToGrid w:val="0"/>
      <w:spacing w:before="90" w:after="60" w:line="520" w:lineRule="exact"/>
      <w:ind w:firstLineChars="200" w:firstLine="560"/>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pPr>
      <w:ind w:leftChars="2500" w:left="100"/>
    </w:pPr>
    <w:rPr>
      <w:rFonts w:cs="Times New Roman"/>
    </w:rPr>
  </w:style>
  <w:style w:type="paragraph" w:styleId="a4">
    <w:name w:val="Balloon Text"/>
    <w:basedOn w:val="a"/>
    <w:link w:val="Char0"/>
    <w:autoRedefine/>
    <w:qFormat/>
    <w:pPr>
      <w:spacing w:before="0" w:after="0" w:line="240" w:lineRule="auto"/>
    </w:pPr>
    <w:rPr>
      <w:rFonts w:cs="Times New Roman"/>
      <w:sz w:val="18"/>
      <w:szCs w:val="18"/>
    </w:rPr>
  </w:style>
  <w:style w:type="paragraph" w:styleId="a5">
    <w:name w:val="footer"/>
    <w:basedOn w:val="a"/>
    <w:link w:val="Char1"/>
    <w:autoRedefine/>
    <w:uiPriority w:val="99"/>
    <w:qFormat/>
    <w:pPr>
      <w:tabs>
        <w:tab w:val="center" w:pos="4153"/>
        <w:tab w:val="right" w:pos="8306"/>
      </w:tabs>
      <w:spacing w:line="240" w:lineRule="atLeast"/>
      <w:jc w:val="left"/>
    </w:pPr>
    <w:rPr>
      <w:rFonts w:cs="Times New Roman"/>
      <w:sz w:val="18"/>
      <w:szCs w:val="18"/>
    </w:rPr>
  </w:style>
  <w:style w:type="paragraph" w:styleId="a6">
    <w:name w:val="header"/>
    <w:basedOn w:val="a"/>
    <w:link w:val="Char2"/>
    <w:autoRedefine/>
    <w:uiPriority w:val="99"/>
    <w:qFormat/>
    <w:pPr>
      <w:pBdr>
        <w:bottom w:val="single" w:sz="6" w:space="1" w:color="auto"/>
      </w:pBdr>
      <w:tabs>
        <w:tab w:val="center" w:pos="4153"/>
        <w:tab w:val="right" w:pos="8306"/>
      </w:tabs>
      <w:spacing w:line="240" w:lineRule="atLeast"/>
      <w:jc w:val="center"/>
    </w:pPr>
    <w:rPr>
      <w:rFonts w:cs="Times New Roman"/>
      <w:sz w:val="18"/>
      <w:szCs w:val="18"/>
    </w:rPr>
  </w:style>
  <w:style w:type="table" w:styleId="a7">
    <w:name w:val="Table Grid"/>
    <w:basedOn w:val="a1"/>
    <w:autoRedefine/>
    <w:qFormat/>
    <w:pPr>
      <w:widowControl w:val="0"/>
      <w:spacing w:before="90" w:after="60" w:line="4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6"/>
    <w:autoRedefine/>
    <w:uiPriority w:val="99"/>
    <w:qFormat/>
    <w:rPr>
      <w:rFonts w:ascii="Calibri" w:eastAsia="仿宋_GB2312" w:hAnsi="Calibri" w:cs="Calibri"/>
      <w:kern w:val="2"/>
      <w:sz w:val="18"/>
      <w:szCs w:val="18"/>
    </w:rPr>
  </w:style>
  <w:style w:type="character" w:customStyle="1" w:styleId="Char1">
    <w:name w:val="页脚 Char"/>
    <w:link w:val="a5"/>
    <w:autoRedefine/>
    <w:uiPriority w:val="99"/>
    <w:qFormat/>
    <w:rPr>
      <w:rFonts w:ascii="Calibri" w:eastAsia="仿宋_GB2312" w:hAnsi="Calibri" w:cs="Calibri"/>
      <w:kern w:val="2"/>
      <w:sz w:val="18"/>
      <w:szCs w:val="18"/>
    </w:rPr>
  </w:style>
  <w:style w:type="character" w:customStyle="1" w:styleId="Char0">
    <w:name w:val="批注框文本 Char"/>
    <w:link w:val="a4"/>
    <w:autoRedefine/>
    <w:qFormat/>
    <w:rPr>
      <w:rFonts w:ascii="Calibri" w:eastAsia="仿宋_GB2312" w:hAnsi="Calibri" w:cs="Calibri"/>
      <w:kern w:val="2"/>
      <w:sz w:val="18"/>
      <w:szCs w:val="18"/>
    </w:rPr>
  </w:style>
  <w:style w:type="paragraph" w:styleId="a8">
    <w:name w:val="No Spacing"/>
    <w:autoRedefine/>
    <w:uiPriority w:val="1"/>
    <w:qFormat/>
    <w:pPr>
      <w:widowControl w:val="0"/>
      <w:jc w:val="both"/>
    </w:pPr>
    <w:rPr>
      <w:rFonts w:ascii="Calibri" w:hAnsi="Calibri"/>
      <w:kern w:val="2"/>
      <w:sz w:val="21"/>
      <w:szCs w:val="22"/>
    </w:rPr>
  </w:style>
  <w:style w:type="character" w:customStyle="1" w:styleId="Char">
    <w:name w:val="日期 Char"/>
    <w:link w:val="a3"/>
    <w:autoRedefine/>
    <w:qFormat/>
    <w:rPr>
      <w:rFonts w:ascii="Calibri" w:eastAsia="仿宋_GB2312" w:hAnsi="Calibri" w:cs="Calibri"/>
      <w:kern w:val="2"/>
      <w:sz w:val="24"/>
      <w:szCs w:val="24"/>
    </w:rPr>
  </w:style>
  <w:style w:type="table" w:customStyle="1" w:styleId="1">
    <w:name w:val="网格型1"/>
    <w:basedOn w:val="a1"/>
    <w:autoRedefine/>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无间隔1"/>
    <w:autoRedefine/>
    <w:uiPriority w:val="1"/>
    <w:qFormat/>
    <w:pPr>
      <w:widowControl w:val="0"/>
      <w:jc w:val="both"/>
    </w:pPr>
    <w:rPr>
      <w:rFonts w:ascii="Calibri" w:hAnsi="Calibri" w:cs="黑体"/>
      <w:kern w:val="2"/>
      <w:sz w:val="21"/>
      <w:szCs w:val="22"/>
    </w:rPr>
  </w:style>
  <w:style w:type="paragraph" w:styleId="a9">
    <w:name w:val="List Paragraph"/>
    <w:basedOn w:val="a"/>
    <w:autoRedefine/>
    <w:uiPriority w:val="34"/>
    <w:qFormat/>
    <w:pPr>
      <w:ind w:firstLine="420"/>
    </w:pPr>
  </w:style>
  <w:style w:type="character" w:customStyle="1" w:styleId="font21">
    <w:name w:val="font21"/>
    <w:basedOn w:val="a0"/>
    <w:autoRedefine/>
    <w:qFormat/>
    <w:rPr>
      <w:rFonts w:ascii="仿宋_GB2312" w:eastAsia="仿宋_GB2312" w:cs="仿宋_GB2312"/>
      <w:color w:val="000000"/>
      <w:sz w:val="21"/>
      <w:szCs w:val="21"/>
      <w:u w:val="none"/>
    </w:rPr>
  </w:style>
  <w:style w:type="character" w:customStyle="1" w:styleId="font31">
    <w:name w:val="font31"/>
    <w:basedOn w:val="a0"/>
    <w:autoRedefine/>
    <w:uiPriority w:val="99"/>
    <w:qFormat/>
    <w:rPr>
      <w:rFonts w:ascii="仿宋" w:eastAsia="仿宋" w:hAnsi="仿宋" w:cs="仿宋" w:hint="eastAsia"/>
      <w:color w:val="000000"/>
      <w:sz w:val="21"/>
      <w:szCs w:val="21"/>
      <w:u w:val="none"/>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2283</Characters>
  <Application>Microsoft Office Word</Application>
  <DocSecurity>0</DocSecurity>
  <Lines>19</Lines>
  <Paragraphs>5</Paragraphs>
  <ScaleCrop>false</ScaleCrop>
  <Company>微软中国</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厦门海翼资产管理有限公司房产</dc:title>
  <dc:creator>朱姗姗</dc:creator>
  <cp:lastModifiedBy>wangsy11</cp:lastModifiedBy>
  <cp:revision>2</cp:revision>
  <cp:lastPrinted>2024-04-29T06:49:00Z</cp:lastPrinted>
  <dcterms:created xsi:type="dcterms:W3CDTF">2025-05-28T13:21:00Z</dcterms:created>
  <dcterms:modified xsi:type="dcterms:W3CDTF">2025-05-28T13:21:00Z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E657773ABE494D2683F477C1C781D539_13</vt:lpwstr>
  </property>
  <property fmtid="{D5CDD505-2E9C-101B-9397-08002B2CF9AE}" pid="4" name="KSOTemplateDocerSaveRecord">
    <vt:lpwstr>eyJoZGlkIjoiYzMyZjQ1YjFjMDU4M2YyOTY3ZDJjNzUzYzkyNmQxMGMiLCJ1c2VySWQiOiI0NDUxOTY5MzMifQ==</vt:lpwstr>
  </property>
</Properties>
</file>